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C069E" w14:textId="2D60D77D" w:rsidR="00E671F6" w:rsidRPr="00CA2D95" w:rsidRDefault="00E671F6" w:rsidP="00E671F6">
      <w:pPr>
        <w:pStyle w:val="Header"/>
        <w:tabs>
          <w:tab w:val="right" w:pos="9639"/>
        </w:tabs>
        <w:jc w:val="both"/>
        <w:rPr>
          <w:rFonts w:eastAsia="Times New Roman"/>
          <w:sz w:val="24"/>
        </w:rPr>
      </w:pPr>
      <w:r w:rsidRPr="00CA2D95">
        <w:rPr>
          <w:rFonts w:eastAsia="Times New Roman"/>
          <w:sz w:val="24"/>
        </w:rPr>
        <w:t>3GPP TSG RAN WG1 #104b-e</w:t>
      </w:r>
      <w:r w:rsidRPr="00CA2D95">
        <w:rPr>
          <w:rFonts w:eastAsia="Times New Roman"/>
          <w:sz w:val="24"/>
        </w:rPr>
        <w:tab/>
        <w:t>R1-2103068</w:t>
      </w:r>
    </w:p>
    <w:p w14:paraId="65DFE0AF" w14:textId="77777777" w:rsidR="00E671F6" w:rsidRPr="00CA2D95" w:rsidRDefault="00E671F6" w:rsidP="00E671F6">
      <w:pPr>
        <w:pStyle w:val="Header"/>
        <w:tabs>
          <w:tab w:val="right" w:pos="9639"/>
        </w:tabs>
        <w:jc w:val="both"/>
        <w:rPr>
          <w:rFonts w:eastAsia="Times New Roman"/>
          <w:sz w:val="24"/>
        </w:rPr>
      </w:pPr>
      <w:r w:rsidRPr="00CA2D95">
        <w:rPr>
          <w:rFonts w:eastAsia="Times New Roman"/>
          <w:sz w:val="24"/>
        </w:rPr>
        <w:t>e-Meeting, April 12th – 20th, 2021</w:t>
      </w:r>
    </w:p>
    <w:p w14:paraId="7C15AD34" w14:textId="70757A40" w:rsidR="00620296" w:rsidRPr="00CA2D95" w:rsidRDefault="00620296" w:rsidP="00E671F6">
      <w:pPr>
        <w:pStyle w:val="Header"/>
        <w:tabs>
          <w:tab w:val="right" w:pos="9639"/>
        </w:tabs>
        <w:jc w:val="both"/>
        <w:rPr>
          <w:i/>
          <w:sz w:val="32"/>
        </w:rPr>
      </w:pPr>
      <w:r w:rsidRPr="00CA2D95">
        <w:rPr>
          <w:sz w:val="24"/>
        </w:rPr>
        <w:tab/>
      </w:r>
    </w:p>
    <w:p w14:paraId="66A2A3CB" w14:textId="71BEBCEA" w:rsidR="00620296" w:rsidRPr="00CA2D95" w:rsidRDefault="00620296" w:rsidP="00620296">
      <w:pPr>
        <w:tabs>
          <w:tab w:val="left" w:pos="1985"/>
        </w:tabs>
        <w:jc w:val="both"/>
        <w:rPr>
          <w:rFonts w:ascii="Arial" w:hAnsi="Arial"/>
          <w:sz w:val="24"/>
          <w:lang w:val="en-US"/>
        </w:rPr>
      </w:pPr>
      <w:r w:rsidRPr="00CA2D95">
        <w:rPr>
          <w:rFonts w:ascii="Arial" w:hAnsi="Arial"/>
          <w:b/>
          <w:sz w:val="24"/>
          <w:lang w:val="en-US"/>
        </w:rPr>
        <w:t>Agenda item:</w:t>
      </w:r>
      <w:r w:rsidRPr="00CA2D95">
        <w:rPr>
          <w:rFonts w:ascii="Arial" w:hAnsi="Arial"/>
          <w:sz w:val="24"/>
          <w:lang w:val="en-US"/>
        </w:rPr>
        <w:tab/>
      </w:r>
      <w:bookmarkStart w:id="0" w:name="Source"/>
      <w:bookmarkEnd w:id="0"/>
      <w:r w:rsidR="00221394" w:rsidRPr="00CA2D95">
        <w:rPr>
          <w:rFonts w:ascii="Arial" w:hAnsi="Arial"/>
          <w:sz w:val="24"/>
          <w:lang w:val="en-US"/>
        </w:rPr>
        <w:t>8.9.2</w:t>
      </w:r>
    </w:p>
    <w:p w14:paraId="08727EFD" w14:textId="77777777" w:rsidR="00620296" w:rsidRPr="00CA2D95" w:rsidRDefault="00620296" w:rsidP="00620296">
      <w:pPr>
        <w:tabs>
          <w:tab w:val="left" w:pos="1985"/>
        </w:tabs>
        <w:jc w:val="both"/>
        <w:rPr>
          <w:rFonts w:ascii="Arial" w:hAnsi="Arial"/>
          <w:sz w:val="24"/>
          <w:lang w:val="en-US"/>
        </w:rPr>
      </w:pPr>
      <w:r w:rsidRPr="00CA2D95">
        <w:rPr>
          <w:rFonts w:ascii="Arial" w:hAnsi="Arial"/>
          <w:b/>
          <w:sz w:val="24"/>
          <w:lang w:val="en-US"/>
        </w:rPr>
        <w:t xml:space="preserve">Source: </w:t>
      </w:r>
      <w:r w:rsidRPr="00CA2D95">
        <w:rPr>
          <w:rFonts w:ascii="Arial" w:hAnsi="Arial"/>
          <w:b/>
          <w:sz w:val="24"/>
          <w:lang w:val="en-US"/>
        </w:rPr>
        <w:tab/>
      </w:r>
      <w:r w:rsidRPr="00CA2D95">
        <w:rPr>
          <w:rFonts w:ascii="Arial" w:hAnsi="Arial"/>
          <w:sz w:val="24"/>
          <w:lang w:val="en-US"/>
        </w:rPr>
        <w:t>Qualcomm Incorporated</w:t>
      </w:r>
    </w:p>
    <w:p w14:paraId="2B7E5407" w14:textId="093A726B" w:rsidR="00620296" w:rsidRPr="00CA2D95" w:rsidRDefault="00620296" w:rsidP="00620296">
      <w:pPr>
        <w:ind w:left="1988" w:hanging="1988"/>
        <w:jc w:val="both"/>
        <w:rPr>
          <w:rFonts w:ascii="Arial" w:hAnsi="Arial"/>
          <w:sz w:val="28"/>
          <w:lang w:val="en-US"/>
        </w:rPr>
      </w:pPr>
      <w:r w:rsidRPr="00CA2D95">
        <w:rPr>
          <w:rFonts w:ascii="Arial" w:hAnsi="Arial"/>
          <w:b/>
          <w:sz w:val="24"/>
          <w:lang w:val="en-US"/>
        </w:rPr>
        <w:t>Title:</w:t>
      </w:r>
      <w:r w:rsidRPr="00CA2D95">
        <w:rPr>
          <w:rFonts w:ascii="Arial" w:hAnsi="Arial"/>
          <w:sz w:val="24"/>
          <w:lang w:val="en-US"/>
        </w:rPr>
        <w:t xml:space="preserve"> </w:t>
      </w:r>
      <w:r w:rsidRPr="00CA2D95">
        <w:rPr>
          <w:rFonts w:ascii="Arial" w:hAnsi="Arial"/>
          <w:sz w:val="22"/>
          <w:lang w:val="en-US"/>
        </w:rPr>
        <w:tab/>
      </w:r>
      <w:r w:rsidR="00221394" w:rsidRPr="00CA2D95">
        <w:rPr>
          <w:rFonts w:ascii="Arial" w:hAnsi="Arial"/>
          <w:sz w:val="24"/>
          <w:lang w:val="en-US"/>
        </w:rPr>
        <w:t>Support of 14 HARQ processes and scheduling delay</w:t>
      </w:r>
    </w:p>
    <w:p w14:paraId="412B4E4E" w14:textId="75646A95" w:rsidR="00B32506" w:rsidRPr="00CA2D95" w:rsidRDefault="00620296" w:rsidP="008208F6">
      <w:pPr>
        <w:tabs>
          <w:tab w:val="left" w:pos="1985"/>
        </w:tabs>
        <w:ind w:right="-441"/>
        <w:jc w:val="both"/>
        <w:rPr>
          <w:rFonts w:ascii="Arial" w:hAnsi="Arial"/>
          <w:sz w:val="24"/>
          <w:lang w:val="en-US"/>
        </w:rPr>
      </w:pPr>
      <w:r w:rsidRPr="00CA2D95">
        <w:rPr>
          <w:rFonts w:ascii="Arial" w:hAnsi="Arial"/>
          <w:b/>
          <w:sz w:val="24"/>
          <w:lang w:val="en-US"/>
        </w:rPr>
        <w:t>Document for:</w:t>
      </w:r>
      <w:r w:rsidRPr="00CA2D95">
        <w:rPr>
          <w:rFonts w:ascii="Arial" w:hAnsi="Arial"/>
          <w:sz w:val="24"/>
          <w:lang w:val="en-US"/>
        </w:rPr>
        <w:tab/>
      </w:r>
      <w:bookmarkStart w:id="1" w:name="DocumentFor"/>
      <w:bookmarkEnd w:id="1"/>
      <w:r w:rsidRPr="00CA2D95">
        <w:rPr>
          <w:rFonts w:ascii="Arial" w:hAnsi="Arial"/>
          <w:sz w:val="24"/>
          <w:lang w:val="en-US"/>
        </w:rPr>
        <w:t>Discussion and Decision</w:t>
      </w:r>
    </w:p>
    <w:p w14:paraId="2859D330" w14:textId="6E9ED0D8" w:rsidR="008208F6" w:rsidRPr="00CA2D95" w:rsidRDefault="008208F6" w:rsidP="008208F6">
      <w:pPr>
        <w:tabs>
          <w:tab w:val="left" w:pos="1985"/>
        </w:tabs>
        <w:ind w:right="-441"/>
        <w:jc w:val="both"/>
        <w:rPr>
          <w:rFonts w:ascii="Arial" w:hAnsi="Arial"/>
          <w:sz w:val="24"/>
          <w:lang w:val="en-US"/>
        </w:rPr>
      </w:pPr>
    </w:p>
    <w:p w14:paraId="092284EF" w14:textId="1FBEBF87" w:rsidR="001B159B" w:rsidRPr="00CA2D95" w:rsidRDefault="001B159B" w:rsidP="001B159B">
      <w:pPr>
        <w:pStyle w:val="Heading1"/>
        <w:numPr>
          <w:ilvl w:val="0"/>
          <w:numId w:val="1"/>
        </w:numPr>
        <w:tabs>
          <w:tab w:val="clear" w:pos="1140"/>
          <w:tab w:val="num" w:pos="720"/>
        </w:tabs>
        <w:ind w:left="720" w:hanging="720"/>
        <w:jc w:val="both"/>
        <w:rPr>
          <w:lang w:val="en-US"/>
        </w:rPr>
      </w:pPr>
      <w:r w:rsidRPr="00CA2D95">
        <w:rPr>
          <w:lang w:val="en-US"/>
        </w:rPr>
        <w:t>Background</w:t>
      </w:r>
    </w:p>
    <w:p w14:paraId="4E252AFA" w14:textId="6A113762" w:rsidR="00221394" w:rsidRPr="00CA2D95" w:rsidRDefault="00221394" w:rsidP="001B159B">
      <w:pPr>
        <w:rPr>
          <w:lang w:val="en-US"/>
        </w:rPr>
      </w:pPr>
      <w:r w:rsidRPr="00CA2D95">
        <w:rPr>
          <w:lang w:val="en-US"/>
        </w:rPr>
        <w:t>A new work item on additional enhancements for NB-IoT and LTE-MTC was approved in [1]. One of the objectives is to increase the eMTC effective throughput by means of the following technique:</w:t>
      </w:r>
    </w:p>
    <w:p w14:paraId="2698F507" w14:textId="25762D12" w:rsidR="00221394" w:rsidRPr="00CA2D95" w:rsidRDefault="00221394" w:rsidP="00221394">
      <w:pPr>
        <w:widowControl w:val="0"/>
        <w:numPr>
          <w:ilvl w:val="0"/>
          <w:numId w:val="15"/>
        </w:numPr>
        <w:spacing w:after="0" w:line="360" w:lineRule="auto"/>
        <w:contextualSpacing/>
        <w:jc w:val="both"/>
        <w:rPr>
          <w:rFonts w:eastAsia="DengXian"/>
          <w:lang w:val="en-US" w:eastAsia="zh-CN"/>
        </w:rPr>
      </w:pPr>
      <w:r w:rsidRPr="00CA2D95">
        <w:rPr>
          <w:rFonts w:eastAsia="DengXian"/>
          <w:lang w:val="en-US" w:eastAsia="zh-CN"/>
        </w:rPr>
        <w:t>Support additional PDSCH scheduling delay for introduction of 14-HARQ processes in DL, for HD-FDD Cat M1 UEs. [LTE-MTC] [RAN1]</w:t>
      </w:r>
    </w:p>
    <w:p w14:paraId="75695DE5" w14:textId="23F1CBF6" w:rsidR="00221394" w:rsidRPr="00CA2D95" w:rsidRDefault="00221394" w:rsidP="001B159B">
      <w:pPr>
        <w:rPr>
          <w:lang w:val="en-US"/>
        </w:rPr>
      </w:pPr>
      <w:r w:rsidRPr="00CA2D95">
        <w:rPr>
          <w:lang w:val="en-US"/>
        </w:rPr>
        <w:br/>
        <w:t xml:space="preserve">We would like to point out that this objective was already discussed during Rel-16 TEI [2,3], but was finally postponed to Rel-17. </w:t>
      </w:r>
    </w:p>
    <w:p w14:paraId="44E467A6" w14:textId="4F3E757C" w:rsidR="009627A6" w:rsidRPr="00CA2D95" w:rsidRDefault="009627A6" w:rsidP="001B159B">
      <w:pPr>
        <w:rPr>
          <w:lang w:val="en-US"/>
        </w:rPr>
      </w:pPr>
      <w:r w:rsidRPr="00CA2D95">
        <w:rPr>
          <w:lang w:val="en-US"/>
        </w:rPr>
        <w:t>In</w:t>
      </w:r>
      <w:r w:rsidR="00E671F6" w:rsidRPr="00CA2D95">
        <w:rPr>
          <w:lang w:val="en-US"/>
        </w:rPr>
        <w:t xml:space="preserve"> previous meeting the following agreements were reached:</w:t>
      </w:r>
    </w:p>
    <w:p w14:paraId="52FFB79B" w14:textId="77777777" w:rsidR="00446042" w:rsidRPr="00CA2D95" w:rsidRDefault="00446042" w:rsidP="00446042">
      <w:pPr>
        <w:rPr>
          <w:rFonts w:eastAsia="Calibri"/>
          <w:highlight w:val="green"/>
          <w:lang w:val="en-US"/>
        </w:rPr>
      </w:pPr>
      <w:r w:rsidRPr="00CA2D95">
        <w:rPr>
          <w:rFonts w:eastAsia="Calibri"/>
          <w:highlight w:val="green"/>
          <w:lang w:val="en-US"/>
        </w:rPr>
        <w:t>Agreement</w:t>
      </w:r>
    </w:p>
    <w:p w14:paraId="3733A28E" w14:textId="77777777" w:rsidR="00446042" w:rsidRPr="00CA2D95" w:rsidRDefault="00446042" w:rsidP="00446042">
      <w:pPr>
        <w:rPr>
          <w:rFonts w:cs="Times"/>
          <w:lang w:val="en-US"/>
        </w:rPr>
      </w:pPr>
      <w:r w:rsidRPr="00CA2D95">
        <w:rPr>
          <w:rFonts w:eastAsia="Calibri" w:cs="Times"/>
          <w:lang w:val="en-US"/>
        </w:rPr>
        <w:t>In Rel-17, for the 14 HARQ processes feature,</w:t>
      </w:r>
      <w:r w:rsidRPr="00CA2D95">
        <w:rPr>
          <w:rFonts w:cs="Times"/>
          <w:lang w:val="en-US"/>
        </w:rPr>
        <w:t xml:space="preserve"> PUCCH repetition is not supported with HARQ-ACK bundling.</w:t>
      </w:r>
    </w:p>
    <w:p w14:paraId="5A962164" w14:textId="77777777" w:rsidR="00446042" w:rsidRPr="00CA2D95" w:rsidRDefault="00446042" w:rsidP="00446042">
      <w:pPr>
        <w:rPr>
          <w:u w:val="single"/>
          <w:lang w:val="en-US" w:eastAsia="x-none"/>
        </w:rPr>
      </w:pPr>
      <w:r w:rsidRPr="00CA2D95">
        <w:rPr>
          <w:u w:val="single"/>
          <w:lang w:val="en-US" w:eastAsia="x-none"/>
        </w:rPr>
        <w:t>Conclusion</w:t>
      </w:r>
    </w:p>
    <w:p w14:paraId="4C8BDBDC" w14:textId="77777777" w:rsidR="00446042" w:rsidRPr="00CA2D95" w:rsidRDefault="00446042" w:rsidP="00446042">
      <w:pPr>
        <w:rPr>
          <w:lang w:val="en-US" w:eastAsia="x-none"/>
        </w:rPr>
      </w:pPr>
      <w:r w:rsidRPr="00CA2D95">
        <w:rPr>
          <w:lang w:val="en-US" w:eastAsia="x-none"/>
        </w:rPr>
        <w:t>In Rel-17, the 14 HARQ processes feature is not supported when the multi-TB grant feature is enabled.</w:t>
      </w:r>
    </w:p>
    <w:p w14:paraId="3198A099" w14:textId="77777777" w:rsidR="00446042" w:rsidRPr="00CA2D95" w:rsidRDefault="00446042" w:rsidP="00446042">
      <w:pPr>
        <w:rPr>
          <w:highlight w:val="green"/>
          <w:lang w:val="en-US" w:eastAsia="x-none"/>
        </w:rPr>
      </w:pPr>
      <w:r w:rsidRPr="00CA2D95">
        <w:rPr>
          <w:highlight w:val="green"/>
          <w:lang w:val="en-US" w:eastAsia="x-none"/>
        </w:rPr>
        <w:t>Agreement</w:t>
      </w:r>
    </w:p>
    <w:p w14:paraId="4755E300" w14:textId="77777777" w:rsidR="00446042" w:rsidRPr="00CA2D95" w:rsidRDefault="00446042" w:rsidP="00446042">
      <w:pPr>
        <w:rPr>
          <w:lang w:val="en-US"/>
        </w:rPr>
      </w:pPr>
      <w:r w:rsidRPr="00CA2D95">
        <w:rPr>
          <w:lang w:val="en-US"/>
        </w:rPr>
        <w:t>In Rel-17, for the 14 HARQ process feature the HARQ-ACK delay solution will be down-selected in RAN1#105-e from:</w:t>
      </w:r>
    </w:p>
    <w:p w14:paraId="44F25389" w14:textId="77777777" w:rsidR="00446042" w:rsidRPr="00CA2D95" w:rsidRDefault="00446042" w:rsidP="00446042">
      <w:pPr>
        <w:pStyle w:val="ListParagraph"/>
        <w:numPr>
          <w:ilvl w:val="0"/>
          <w:numId w:val="35"/>
        </w:numPr>
        <w:spacing w:after="0"/>
        <w:ind w:left="714" w:hanging="357"/>
        <w:rPr>
          <w:lang w:val="en-US" w:eastAsia="x-none"/>
        </w:rPr>
      </w:pPr>
      <w:r w:rsidRPr="00CA2D95">
        <w:rPr>
          <w:lang w:val="en-US" w:eastAsia="x-none"/>
        </w:rPr>
        <w:t>Alt-1: The HARQ-ACK delay is determined through an expression consisting of different subframe types (Using a similar principle as the PDSCH scheduling delay).</w:t>
      </w:r>
    </w:p>
    <w:p w14:paraId="1F7B9520" w14:textId="77777777" w:rsidR="00446042" w:rsidRPr="00CA2D95" w:rsidRDefault="00446042" w:rsidP="00446042">
      <w:pPr>
        <w:pStyle w:val="ListParagraph"/>
        <w:numPr>
          <w:ilvl w:val="1"/>
          <w:numId w:val="35"/>
        </w:numPr>
        <w:spacing w:after="0"/>
        <w:rPr>
          <w:lang w:val="en-US" w:eastAsia="x-none"/>
        </w:rPr>
      </w:pPr>
      <w:r w:rsidRPr="00CA2D95">
        <w:rPr>
          <w:lang w:val="en-US" w:eastAsia="x-none"/>
        </w:rPr>
        <w:t>FFS: The expression consisting of different subframe types.</w:t>
      </w:r>
    </w:p>
    <w:p w14:paraId="6314A4BF" w14:textId="77777777" w:rsidR="00446042" w:rsidRPr="00CA2D95" w:rsidRDefault="00446042" w:rsidP="00446042">
      <w:pPr>
        <w:pStyle w:val="ListParagraph"/>
        <w:numPr>
          <w:ilvl w:val="1"/>
          <w:numId w:val="35"/>
        </w:numPr>
        <w:spacing w:after="0"/>
        <w:rPr>
          <w:lang w:val="en-US" w:eastAsia="x-none"/>
        </w:rPr>
      </w:pPr>
      <w:r w:rsidRPr="00CA2D95">
        <w:rPr>
          <w:lang w:val="en-US" w:eastAsia="x-none"/>
        </w:rPr>
        <w:t>FFS: Signaling Details.</w:t>
      </w:r>
    </w:p>
    <w:p w14:paraId="2A010F1A" w14:textId="77777777" w:rsidR="00446042" w:rsidRPr="00CA2D95" w:rsidRDefault="00446042" w:rsidP="00446042">
      <w:pPr>
        <w:pStyle w:val="ListParagraph"/>
        <w:numPr>
          <w:ilvl w:val="0"/>
          <w:numId w:val="35"/>
        </w:numPr>
        <w:spacing w:after="0"/>
        <w:ind w:left="714" w:hanging="357"/>
        <w:rPr>
          <w:lang w:val="en-US" w:eastAsia="x-none"/>
        </w:rPr>
      </w:pPr>
      <w:r w:rsidRPr="00CA2D95">
        <w:rPr>
          <w:lang w:val="en-US" w:eastAsia="x-none"/>
        </w:rPr>
        <w:t>Alt-2: The HARQ-ACK delay is determined following the legacy approach. That is, the “HARQ-ACK delay” is kept expressed in terms of “absolute subframes”.</w:t>
      </w:r>
    </w:p>
    <w:p w14:paraId="05AD1883" w14:textId="77777777" w:rsidR="00446042" w:rsidRPr="00CA2D95" w:rsidRDefault="00446042" w:rsidP="00446042">
      <w:pPr>
        <w:pStyle w:val="ListParagraph"/>
        <w:numPr>
          <w:ilvl w:val="1"/>
          <w:numId w:val="35"/>
        </w:numPr>
        <w:spacing w:after="0"/>
        <w:rPr>
          <w:lang w:val="en-US" w:eastAsia="x-none"/>
        </w:rPr>
      </w:pPr>
      <w:r w:rsidRPr="00CA2D95">
        <w:rPr>
          <w:lang w:val="en-US" w:eastAsia="x-none"/>
        </w:rPr>
        <w:t>FFS: The percentage of presence of non-BL/CE DL subframes and non-BL/CE UL subframes to be handled.</w:t>
      </w:r>
    </w:p>
    <w:p w14:paraId="5C9218AE" w14:textId="77777777" w:rsidR="00446042" w:rsidRPr="00CA2D95" w:rsidRDefault="00446042" w:rsidP="00446042">
      <w:pPr>
        <w:pStyle w:val="ListParagraph"/>
        <w:numPr>
          <w:ilvl w:val="1"/>
          <w:numId w:val="35"/>
        </w:numPr>
        <w:spacing w:after="0"/>
        <w:rPr>
          <w:lang w:val="en-US" w:eastAsia="x-none"/>
        </w:rPr>
      </w:pPr>
      <w:r w:rsidRPr="00CA2D95">
        <w:rPr>
          <w:lang w:val="en-US" w:eastAsia="x-none"/>
        </w:rPr>
        <w:t>FFS: HARQ-ACK delay values and length of the HARQ-ACK delay set.</w:t>
      </w:r>
    </w:p>
    <w:p w14:paraId="6BC9A2CD" w14:textId="77777777" w:rsidR="00446042" w:rsidRPr="00CA2D95" w:rsidRDefault="00446042" w:rsidP="00446042">
      <w:pPr>
        <w:pStyle w:val="ListParagraph"/>
        <w:numPr>
          <w:ilvl w:val="1"/>
          <w:numId w:val="35"/>
        </w:numPr>
        <w:spacing w:after="0"/>
        <w:rPr>
          <w:lang w:val="en-US" w:eastAsia="x-none"/>
        </w:rPr>
      </w:pPr>
      <w:r w:rsidRPr="00CA2D95">
        <w:rPr>
          <w:lang w:val="en-US" w:eastAsia="x-none"/>
        </w:rPr>
        <w:t>FFS: Signaling Details.</w:t>
      </w:r>
    </w:p>
    <w:p w14:paraId="31777947" w14:textId="77777777" w:rsidR="00446042" w:rsidRPr="00CA2D95" w:rsidRDefault="00446042" w:rsidP="00446042">
      <w:pPr>
        <w:rPr>
          <w:lang w:val="en-US"/>
        </w:rPr>
      </w:pPr>
      <w:r w:rsidRPr="00CA2D95">
        <w:rPr>
          <w:lang w:val="en-US"/>
        </w:rPr>
        <w:t>The following aspects will be considered towards the down-selection of one of the two alternatives (i.e., Alt-1 or Alt-2) for the HARQ-ACK delay solution:</w:t>
      </w:r>
    </w:p>
    <w:p w14:paraId="4F74545C" w14:textId="77777777" w:rsidR="00446042" w:rsidRPr="00CA2D95" w:rsidRDefault="00446042" w:rsidP="00446042">
      <w:pPr>
        <w:pStyle w:val="ListParagraph"/>
        <w:numPr>
          <w:ilvl w:val="0"/>
          <w:numId w:val="36"/>
        </w:numPr>
        <w:rPr>
          <w:lang w:val="en-US"/>
        </w:rPr>
      </w:pPr>
      <w:r w:rsidRPr="00CA2D95">
        <w:rPr>
          <w:lang w:val="en-US"/>
        </w:rPr>
        <w:t>Total number of bits required in DCI</w:t>
      </w:r>
    </w:p>
    <w:p w14:paraId="3CD536C6" w14:textId="77777777" w:rsidR="00446042" w:rsidRPr="00CA2D95" w:rsidRDefault="00446042" w:rsidP="00446042">
      <w:pPr>
        <w:pStyle w:val="ListParagraph"/>
        <w:numPr>
          <w:ilvl w:val="0"/>
          <w:numId w:val="36"/>
        </w:numPr>
        <w:rPr>
          <w:lang w:val="en-US"/>
        </w:rPr>
      </w:pPr>
      <w:r w:rsidRPr="00CA2D95">
        <w:rPr>
          <w:lang w:val="en-US"/>
        </w:rPr>
        <w:t>Scenarios that can be handled, including:</w:t>
      </w:r>
    </w:p>
    <w:p w14:paraId="5AA30C3D" w14:textId="77777777" w:rsidR="00446042" w:rsidRPr="00CA2D95" w:rsidRDefault="00446042" w:rsidP="00446042">
      <w:pPr>
        <w:pStyle w:val="ListParagraph"/>
        <w:numPr>
          <w:ilvl w:val="1"/>
          <w:numId w:val="36"/>
        </w:numPr>
        <w:rPr>
          <w:lang w:val="en-US"/>
        </w:rPr>
      </w:pPr>
      <w:r w:rsidRPr="00CA2D95">
        <w:rPr>
          <w:lang w:val="en-US"/>
        </w:rPr>
        <w:t>different numbers of scheduled HARQ processes per burst (including dynamically switching between more than 10 HARQ processes and 10 or less HARQ processes)</w:t>
      </w:r>
    </w:p>
    <w:p w14:paraId="3C1976D9" w14:textId="77777777" w:rsidR="00446042" w:rsidRPr="00CA2D95" w:rsidRDefault="00446042" w:rsidP="00446042">
      <w:pPr>
        <w:pStyle w:val="ListParagraph"/>
        <w:numPr>
          <w:ilvl w:val="1"/>
          <w:numId w:val="36"/>
        </w:numPr>
        <w:rPr>
          <w:lang w:val="en-US"/>
        </w:rPr>
      </w:pPr>
      <w:r w:rsidRPr="00CA2D95">
        <w:rPr>
          <w:lang w:val="en-US"/>
        </w:rPr>
        <w:t>different % of invalid subframes for both 10 and 40 SF long bitmaps</w:t>
      </w:r>
    </w:p>
    <w:p w14:paraId="37F131E2" w14:textId="77777777" w:rsidR="00446042" w:rsidRPr="00CA2D95" w:rsidRDefault="00446042" w:rsidP="00446042">
      <w:pPr>
        <w:pStyle w:val="ListParagraph"/>
        <w:numPr>
          <w:ilvl w:val="0"/>
          <w:numId w:val="36"/>
        </w:numPr>
        <w:rPr>
          <w:lang w:val="en-US"/>
        </w:rPr>
      </w:pPr>
      <w:r w:rsidRPr="00CA2D95">
        <w:rPr>
          <w:lang w:val="en-US"/>
        </w:rPr>
        <w:t>Robustness against loss of DCIs</w:t>
      </w:r>
    </w:p>
    <w:p w14:paraId="3B1376C8" w14:textId="77777777" w:rsidR="00446042" w:rsidRPr="00CA2D95" w:rsidRDefault="00446042" w:rsidP="00446042">
      <w:pPr>
        <w:pStyle w:val="ListParagraph"/>
        <w:numPr>
          <w:ilvl w:val="0"/>
          <w:numId w:val="36"/>
        </w:numPr>
        <w:rPr>
          <w:lang w:val="en-US"/>
        </w:rPr>
      </w:pPr>
      <w:r w:rsidRPr="00CA2D95">
        <w:rPr>
          <w:lang w:val="en-US"/>
        </w:rPr>
        <w:t xml:space="preserve">Flexibility </w:t>
      </w:r>
    </w:p>
    <w:p w14:paraId="74C09BAA" w14:textId="77777777" w:rsidR="00446042" w:rsidRPr="00CA2D95" w:rsidRDefault="00446042" w:rsidP="00446042">
      <w:pPr>
        <w:pStyle w:val="ListParagraph"/>
        <w:numPr>
          <w:ilvl w:val="0"/>
          <w:numId w:val="36"/>
        </w:numPr>
        <w:rPr>
          <w:lang w:val="en-US"/>
        </w:rPr>
      </w:pPr>
      <w:r w:rsidRPr="00CA2D95">
        <w:rPr>
          <w:lang w:val="en-US"/>
        </w:rPr>
        <w:t>RRC signaling overhead</w:t>
      </w:r>
    </w:p>
    <w:p w14:paraId="1E26A9C1" w14:textId="42C3C251" w:rsidR="00071128" w:rsidRPr="00CA2D95" w:rsidRDefault="00446042" w:rsidP="00071128">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sidRPr="00CA2D95">
        <w:rPr>
          <w:rFonts w:ascii="Arial" w:eastAsia="SimSun" w:hAnsi="Arial"/>
          <w:sz w:val="36"/>
          <w:lang w:val="en-US"/>
        </w:rPr>
        <w:lastRenderedPageBreak/>
        <w:t>Signaling of HARQ-ACK delay</w:t>
      </w:r>
    </w:p>
    <w:p w14:paraId="6BB18723" w14:textId="21018131" w:rsidR="00BE2D2C" w:rsidRDefault="00446042" w:rsidP="00BE2D2C">
      <w:pPr>
        <w:rPr>
          <w:lang w:val="en-US"/>
        </w:rPr>
      </w:pPr>
      <w:r w:rsidRPr="00CA2D95">
        <w:rPr>
          <w:lang w:val="en-US"/>
        </w:rPr>
        <w:t>One of the main remaining issues of this work item objective is how to determine the HARQ-ACK delay</w:t>
      </w:r>
      <w:r w:rsidR="00CA2D95" w:rsidRPr="00CA2D95">
        <w:rPr>
          <w:lang w:val="en-US"/>
        </w:rPr>
        <w:t xml:space="preserve">. We analyze </w:t>
      </w:r>
      <w:r w:rsidR="00CA2D95">
        <w:rPr>
          <w:lang w:val="en-US"/>
        </w:rPr>
        <w:t>three different schemes</w:t>
      </w:r>
      <w:r w:rsidR="00FA1B49">
        <w:rPr>
          <w:lang w:val="en-US"/>
        </w:rPr>
        <w:t xml:space="preserve"> as presented in previous meetings</w:t>
      </w:r>
      <w:r w:rsidR="00CA2D95">
        <w:rPr>
          <w:lang w:val="en-US"/>
        </w:rPr>
        <w:t>:</w:t>
      </w:r>
    </w:p>
    <w:p w14:paraId="7749A834" w14:textId="5FC6BB57" w:rsidR="00CA2D95" w:rsidRDefault="00CA2D95" w:rsidP="00BE2D2C">
      <w:pPr>
        <w:rPr>
          <w:lang w:val="en-US"/>
        </w:rPr>
      </w:pPr>
    </w:p>
    <w:tbl>
      <w:tblPr>
        <w:tblStyle w:val="TableGrid"/>
        <w:tblW w:w="0" w:type="auto"/>
        <w:tblLook w:val="04A0" w:firstRow="1" w:lastRow="0" w:firstColumn="1" w:lastColumn="0" w:noHBand="0" w:noVBand="1"/>
      </w:tblPr>
      <w:tblGrid>
        <w:gridCol w:w="1705"/>
        <w:gridCol w:w="7924"/>
      </w:tblGrid>
      <w:tr w:rsidR="00CA2D95" w14:paraId="3569DF5B" w14:textId="77777777" w:rsidTr="00CA2D95">
        <w:tc>
          <w:tcPr>
            <w:tcW w:w="1705" w:type="dxa"/>
          </w:tcPr>
          <w:p w14:paraId="7A896463" w14:textId="3E19BAFE" w:rsidR="00CA2D95" w:rsidRPr="00CA2D95" w:rsidRDefault="00CA2D95" w:rsidP="00CA2D95">
            <w:pPr>
              <w:rPr>
                <w:lang w:val="en-US"/>
              </w:rPr>
            </w:pPr>
            <w:r w:rsidRPr="00CA2D95">
              <w:rPr>
                <w:b/>
                <w:bCs/>
                <w:u w:val="single"/>
                <w:lang w:val="en-US"/>
              </w:rPr>
              <w:t>Alt-1.1</w:t>
            </w:r>
            <w:r w:rsidRPr="00CA2D95">
              <w:rPr>
                <w:lang w:val="en-US"/>
              </w:rPr>
              <w:t xml:space="preserve"> as in (R1-2102653, Nokia, NSB)</w:t>
            </w:r>
            <w:r w:rsidR="00FA1B49">
              <w:rPr>
                <w:lang w:val="en-US"/>
              </w:rPr>
              <w:t>.</w:t>
            </w:r>
          </w:p>
          <w:p w14:paraId="52C62ABD" w14:textId="77777777" w:rsidR="00CA2D95" w:rsidRDefault="00CA2D95" w:rsidP="00BE2D2C">
            <w:pPr>
              <w:rPr>
                <w:lang w:val="en-US"/>
              </w:rPr>
            </w:pPr>
          </w:p>
        </w:tc>
        <w:tc>
          <w:tcPr>
            <w:tcW w:w="7924" w:type="dxa"/>
          </w:tcPr>
          <w:p w14:paraId="58B67100" w14:textId="77777777" w:rsidR="00CA2D95" w:rsidRPr="00CA2D95" w:rsidRDefault="00CA2D95" w:rsidP="00CA2D95">
            <w:pPr>
              <w:tabs>
                <w:tab w:val="left" w:pos="1560"/>
              </w:tabs>
              <w:spacing w:after="120"/>
              <w:ind w:left="360"/>
              <w:rPr>
                <w:rFonts w:eastAsia="SimSun"/>
                <w:b/>
                <w:bCs/>
                <w:lang w:val="en-US"/>
              </w:rPr>
            </w:pPr>
            <w:r w:rsidRPr="00CA2D95">
              <w:rPr>
                <w:rFonts w:eastAsia="SimSun"/>
                <w:b/>
                <w:bCs/>
                <w:lang w:val="en-US"/>
              </w:rPr>
              <w:t xml:space="preserve">If y=0, </w:t>
            </w:r>
          </w:p>
          <w:p w14:paraId="6A19F54C" w14:textId="77777777" w:rsidR="00CA2D95" w:rsidRPr="00CA2D95" w:rsidRDefault="00CA2D95" w:rsidP="00CA2D95">
            <w:pPr>
              <w:tabs>
                <w:tab w:val="left" w:pos="1560"/>
              </w:tabs>
              <w:spacing w:after="120"/>
              <w:ind w:left="360"/>
              <w:rPr>
                <w:rFonts w:eastAsia="SimSun"/>
                <w:b/>
                <w:bCs/>
                <w:lang w:val="en-US"/>
              </w:rPr>
            </w:pPr>
            <w:r w:rsidRPr="00CA2D95">
              <w:rPr>
                <w:rFonts w:eastAsia="SimSun"/>
                <w:b/>
                <w:bCs/>
                <w:lang w:val="en-US"/>
              </w:rPr>
              <w:tab/>
              <w:t>(11-i) BL/CE DL subframe + 1 subframe (any type) + (</w:t>
            </w:r>
            <w:r w:rsidRPr="00CA2D95">
              <w:rPr>
                <w:rFonts w:eastAsia="SimSun"/>
                <w:b/>
                <w:bCs/>
                <w:highlight w:val="yellow"/>
                <w:lang w:val="en-US"/>
              </w:rPr>
              <w:t>y</w:t>
            </w:r>
            <w:r w:rsidRPr="00CA2D95">
              <w:rPr>
                <w:rFonts w:eastAsia="SimSun"/>
                <w:b/>
                <w:bCs/>
                <w:lang w:val="en-US"/>
              </w:rPr>
              <w:t>+1) BL/CE UL subframes.</w:t>
            </w:r>
          </w:p>
          <w:p w14:paraId="00E45ED2" w14:textId="77777777" w:rsidR="00CA2D95" w:rsidRPr="00CA2D95" w:rsidRDefault="00CA2D95" w:rsidP="00CA2D95">
            <w:pPr>
              <w:tabs>
                <w:tab w:val="left" w:pos="1560"/>
              </w:tabs>
              <w:spacing w:after="120"/>
              <w:ind w:left="360"/>
              <w:rPr>
                <w:rFonts w:eastAsia="SimSun"/>
                <w:b/>
                <w:bCs/>
                <w:lang w:val="en-US"/>
              </w:rPr>
            </w:pPr>
            <w:r w:rsidRPr="00CA2D95">
              <w:rPr>
                <w:rFonts w:eastAsia="SimSun"/>
                <w:b/>
                <w:bCs/>
                <w:lang w:val="en-US"/>
              </w:rPr>
              <w:t>If y&gt;0,</w:t>
            </w:r>
          </w:p>
          <w:p w14:paraId="54165B94" w14:textId="77777777" w:rsidR="00CA2D95" w:rsidRPr="00CA2D95" w:rsidRDefault="00CA2D95" w:rsidP="00CA2D95">
            <w:pPr>
              <w:tabs>
                <w:tab w:val="left" w:pos="1560"/>
              </w:tabs>
              <w:spacing w:after="120"/>
              <w:ind w:left="360"/>
              <w:rPr>
                <w:rFonts w:eastAsia="SimSun"/>
                <w:b/>
                <w:bCs/>
                <w:lang w:val="en-US"/>
              </w:rPr>
            </w:pPr>
            <w:r w:rsidRPr="00CA2D95">
              <w:rPr>
                <w:rFonts w:eastAsia="SimSun"/>
                <w:b/>
                <w:bCs/>
                <w:lang w:val="en-US"/>
              </w:rPr>
              <w:tab/>
              <w:t>(11-i) BL/CE DL subframe + 1 subframe (any type) + (</w:t>
            </w:r>
            <w:r w:rsidRPr="00CA2D95">
              <w:rPr>
                <w:rFonts w:eastAsia="SimSun"/>
                <w:b/>
                <w:bCs/>
                <w:highlight w:val="yellow"/>
                <w:lang w:val="en-US"/>
              </w:rPr>
              <w:t>y</w:t>
            </w:r>
            <w:r w:rsidRPr="00CA2D95">
              <w:rPr>
                <w:rFonts w:eastAsia="SimSun"/>
                <w:b/>
                <w:bCs/>
                <w:lang w:val="en-US"/>
              </w:rPr>
              <w:t>) BL/CE UL subframes.</w:t>
            </w:r>
          </w:p>
          <w:p w14:paraId="78C42CEE" w14:textId="77777777" w:rsidR="00CA2D95" w:rsidRPr="00CA2D95" w:rsidRDefault="00CA2D95" w:rsidP="00CA2D95">
            <w:pPr>
              <w:tabs>
                <w:tab w:val="left" w:pos="1560"/>
              </w:tabs>
              <w:spacing w:after="120"/>
              <w:ind w:left="360"/>
              <w:rPr>
                <w:rFonts w:eastAsia="SimSun"/>
                <w:b/>
                <w:bCs/>
                <w:i/>
                <w:iCs/>
                <w:lang w:val="en-US"/>
              </w:rPr>
            </w:pPr>
            <w:r w:rsidRPr="00CA2D95">
              <w:rPr>
                <w:rFonts w:eastAsia="SimSun"/>
                <w:b/>
                <w:bCs/>
                <w:i/>
                <w:iCs/>
                <w:lang w:val="en-US"/>
              </w:rPr>
              <w:t>Where:</w:t>
            </w:r>
          </w:p>
          <w:p w14:paraId="18FCAEE8" w14:textId="77777777" w:rsidR="00CA2D95" w:rsidRPr="00CA2D95" w:rsidRDefault="00CA2D95" w:rsidP="00CA2D95">
            <w:pPr>
              <w:tabs>
                <w:tab w:val="left" w:pos="1560"/>
              </w:tabs>
              <w:spacing w:after="120"/>
              <w:ind w:left="360"/>
              <w:rPr>
                <w:rFonts w:eastAsia="SimSun"/>
                <w:b/>
                <w:bCs/>
                <w:i/>
                <w:iCs/>
                <w:lang w:val="en-US"/>
              </w:rPr>
            </w:pPr>
            <w:r w:rsidRPr="00CA2D95">
              <w:rPr>
                <w:rFonts w:eastAsia="SimSun"/>
                <w:b/>
                <w:bCs/>
                <w:i/>
                <w:iCs/>
                <w:lang w:val="en-US"/>
              </w:rPr>
              <w:t xml:space="preserve"> i = {0,1,2,…,11} number of HARQ processes transmitted this cycle since the last set of 3 ACKs were sent </w:t>
            </w:r>
          </w:p>
          <w:p w14:paraId="30CECB48" w14:textId="77777777" w:rsidR="00CA2D95" w:rsidRPr="00CA2D95" w:rsidRDefault="00CA2D95" w:rsidP="00CA2D95">
            <w:pPr>
              <w:tabs>
                <w:tab w:val="left" w:pos="1560"/>
              </w:tabs>
              <w:spacing w:after="120"/>
              <w:ind w:left="360"/>
              <w:rPr>
                <w:rFonts w:eastAsia="SimSun"/>
                <w:b/>
                <w:bCs/>
                <w:i/>
                <w:iCs/>
                <w:lang w:val="en-US"/>
              </w:rPr>
            </w:pPr>
            <w:r w:rsidRPr="00CA2D95">
              <w:rPr>
                <w:rFonts w:eastAsia="SimSun"/>
                <w:b/>
                <w:bCs/>
                <w:i/>
                <w:iCs/>
                <w:lang w:val="en-US"/>
              </w:rPr>
              <w:t>y = {0,1,2,3}   where 0 and 1, indicate that 1</w:t>
            </w:r>
            <w:r w:rsidRPr="00CA2D95">
              <w:rPr>
                <w:rFonts w:eastAsia="SimSun"/>
                <w:b/>
                <w:bCs/>
                <w:i/>
                <w:iCs/>
                <w:vertAlign w:val="superscript"/>
                <w:lang w:val="en-US"/>
              </w:rPr>
              <w:t>st</w:t>
            </w:r>
            <w:r w:rsidRPr="00CA2D95">
              <w:rPr>
                <w:rFonts w:eastAsia="SimSun"/>
                <w:b/>
                <w:bCs/>
                <w:i/>
                <w:iCs/>
                <w:lang w:val="en-US"/>
              </w:rPr>
              <w:t xml:space="preserve"> available PUCCH is to be used,  2 indicates the 2</w:t>
            </w:r>
            <w:r w:rsidRPr="00CA2D95">
              <w:rPr>
                <w:rFonts w:eastAsia="SimSun"/>
                <w:b/>
                <w:bCs/>
                <w:i/>
                <w:iCs/>
                <w:vertAlign w:val="superscript"/>
                <w:lang w:val="en-US"/>
              </w:rPr>
              <w:t>nd</w:t>
            </w:r>
            <w:r w:rsidRPr="00CA2D95">
              <w:rPr>
                <w:rFonts w:eastAsia="SimSun"/>
                <w:b/>
                <w:bCs/>
                <w:i/>
                <w:iCs/>
                <w:lang w:val="en-US"/>
              </w:rPr>
              <w:t xml:space="preserve"> available PUCCH, and 3 indicates the 3</w:t>
            </w:r>
            <w:r w:rsidRPr="00CA2D95">
              <w:rPr>
                <w:rFonts w:eastAsia="SimSun"/>
                <w:b/>
                <w:bCs/>
                <w:i/>
                <w:iCs/>
                <w:vertAlign w:val="superscript"/>
                <w:lang w:val="en-US"/>
              </w:rPr>
              <w:t>rd</w:t>
            </w:r>
            <w:r w:rsidRPr="00CA2D95">
              <w:rPr>
                <w:rFonts w:eastAsia="SimSun"/>
                <w:b/>
                <w:bCs/>
                <w:i/>
                <w:iCs/>
                <w:lang w:val="en-US"/>
              </w:rPr>
              <w:t xml:space="preserve"> available PUCCH</w:t>
            </w:r>
          </w:p>
          <w:p w14:paraId="08594A33" w14:textId="77777777" w:rsidR="00CA2D95" w:rsidRPr="00CA2D95" w:rsidRDefault="00CA2D95" w:rsidP="00CA2D95">
            <w:pPr>
              <w:tabs>
                <w:tab w:val="left" w:pos="1560"/>
              </w:tabs>
              <w:spacing w:after="120"/>
              <w:ind w:left="360"/>
              <w:rPr>
                <w:rFonts w:eastAsia="SimSun"/>
                <w:b/>
                <w:bCs/>
                <w:i/>
                <w:iCs/>
                <w:lang w:val="en-US"/>
              </w:rPr>
            </w:pPr>
            <w:r w:rsidRPr="00CA2D95">
              <w:rPr>
                <w:rFonts w:eastAsia="SimSun"/>
                <w:b/>
                <w:bCs/>
                <w:i/>
                <w:iCs/>
                <w:lang w:val="en-US"/>
              </w:rPr>
              <w:t>Note, “0” also indicates to the UE, that it’s counting of the internal variable “i” should start (i.e. 0)</w:t>
            </w:r>
          </w:p>
          <w:p w14:paraId="1762692F" w14:textId="77777777" w:rsidR="00CA2D95" w:rsidRDefault="00CA2D95" w:rsidP="00BE2D2C">
            <w:pPr>
              <w:rPr>
                <w:lang w:val="en-US"/>
              </w:rPr>
            </w:pPr>
          </w:p>
        </w:tc>
      </w:tr>
      <w:tr w:rsidR="00CA2D95" w14:paraId="0B8A4A01" w14:textId="77777777" w:rsidTr="00CA2D95">
        <w:tc>
          <w:tcPr>
            <w:tcW w:w="1705" w:type="dxa"/>
          </w:tcPr>
          <w:p w14:paraId="465BF60E" w14:textId="31AEAEFB" w:rsidR="00CA2D95" w:rsidRPr="00CA2D95" w:rsidRDefault="00CA2D95" w:rsidP="00CA2D95">
            <w:pPr>
              <w:rPr>
                <w:lang w:val="en-US"/>
              </w:rPr>
            </w:pPr>
            <w:r w:rsidRPr="00CA2D95">
              <w:rPr>
                <w:b/>
                <w:bCs/>
                <w:u w:val="single"/>
                <w:lang w:val="en-US"/>
              </w:rPr>
              <w:t>Alt-1.2</w:t>
            </w:r>
            <w:r w:rsidRPr="00CA2D95">
              <w:rPr>
                <w:lang w:val="en-US"/>
              </w:rPr>
              <w:t xml:space="preserve"> as in R1-2102358, (Huawei, HiSi), Option 2</w:t>
            </w:r>
            <w:r w:rsidR="00FA1B49">
              <w:rPr>
                <w:lang w:val="en-US"/>
              </w:rPr>
              <w:t>.</w:t>
            </w:r>
          </w:p>
          <w:p w14:paraId="39AA7123" w14:textId="77777777" w:rsidR="00CA2D95" w:rsidRDefault="00CA2D95" w:rsidP="00BE2D2C">
            <w:pPr>
              <w:rPr>
                <w:lang w:val="en-US"/>
              </w:rPr>
            </w:pPr>
          </w:p>
        </w:tc>
        <w:tc>
          <w:tcPr>
            <w:tcW w:w="7924" w:type="dxa"/>
          </w:tcPr>
          <w:p w14:paraId="1DC4AF78" w14:textId="77777777" w:rsidR="00CA2D95" w:rsidRPr="00C271AE" w:rsidRDefault="00CA2D95" w:rsidP="00CA2D95">
            <w:pPr>
              <w:spacing w:after="0"/>
              <w:ind w:left="720"/>
              <w:rPr>
                <w:b/>
                <w:kern w:val="2"/>
                <w:lang w:eastAsia="zh-CN"/>
              </w:rPr>
            </w:pPr>
            <w:r w:rsidRPr="00C271AE">
              <w:rPr>
                <w:rFonts w:hint="eastAsia"/>
                <w:b/>
                <w:kern w:val="2"/>
                <w:lang w:eastAsia="zh-CN"/>
              </w:rPr>
              <w:t>HARQ-ACK delay y ranges from 4  to 13 and include the following subframe type：</w:t>
            </w:r>
          </w:p>
          <w:p w14:paraId="1D8C42BF" w14:textId="77777777" w:rsidR="00CA2D95" w:rsidRPr="00C271AE" w:rsidRDefault="00CA2D95" w:rsidP="00CA2D95">
            <w:pPr>
              <w:numPr>
                <w:ilvl w:val="1"/>
                <w:numId w:val="37"/>
              </w:numPr>
              <w:spacing w:after="0"/>
              <w:rPr>
                <w:b/>
                <w:kern w:val="2"/>
                <w:lang w:eastAsia="zh-CN"/>
              </w:rPr>
            </w:pPr>
            <w:r w:rsidRPr="00C271AE">
              <w:rPr>
                <w:b/>
                <w:kern w:val="2"/>
                <w:lang w:eastAsia="zh-CN"/>
              </w:rPr>
              <w:t>(y-z-1) BL/CE DL subframes +1 subframe + z BL/CE UL subframe, where y = 4-13, and z = 1,</w:t>
            </w:r>
            <w:r>
              <w:rPr>
                <w:b/>
                <w:kern w:val="2"/>
                <w:lang w:eastAsia="zh-CN"/>
              </w:rPr>
              <w:t xml:space="preserve"> </w:t>
            </w:r>
            <w:r w:rsidRPr="00C271AE">
              <w:rPr>
                <w:b/>
                <w:kern w:val="2"/>
                <w:lang w:eastAsia="zh-CN"/>
              </w:rPr>
              <w:t>2,</w:t>
            </w:r>
            <w:r>
              <w:rPr>
                <w:b/>
                <w:kern w:val="2"/>
                <w:lang w:eastAsia="zh-CN"/>
              </w:rPr>
              <w:t xml:space="preserve"> </w:t>
            </w:r>
            <w:r w:rsidRPr="00C271AE">
              <w:rPr>
                <w:b/>
                <w:kern w:val="2"/>
                <w:lang w:eastAsia="zh-CN"/>
              </w:rPr>
              <w:t>3.</w:t>
            </w:r>
          </w:p>
          <w:p w14:paraId="5AC325B4" w14:textId="77777777" w:rsidR="00CA2D95" w:rsidRPr="00CA2D95" w:rsidRDefault="00CA2D95" w:rsidP="00BE2D2C"/>
        </w:tc>
      </w:tr>
      <w:tr w:rsidR="00CA2D95" w14:paraId="13C3C85E" w14:textId="77777777" w:rsidTr="00CA2D95">
        <w:tc>
          <w:tcPr>
            <w:tcW w:w="1705" w:type="dxa"/>
          </w:tcPr>
          <w:p w14:paraId="5345B326" w14:textId="4A20C650" w:rsidR="00CA2D95" w:rsidRPr="00CA2D95" w:rsidRDefault="00CA2D95" w:rsidP="00BE2D2C">
            <w:pPr>
              <w:rPr>
                <w:b/>
                <w:bCs/>
                <w:u w:val="single"/>
                <w:lang w:val="en-US"/>
              </w:rPr>
            </w:pPr>
            <w:r w:rsidRPr="00CA2D95">
              <w:rPr>
                <w:b/>
                <w:bCs/>
                <w:u w:val="single"/>
                <w:lang w:val="en-US"/>
              </w:rPr>
              <w:t>Alt-2:</w:t>
            </w:r>
          </w:p>
        </w:tc>
        <w:tc>
          <w:tcPr>
            <w:tcW w:w="7924" w:type="dxa"/>
          </w:tcPr>
          <w:p w14:paraId="33F687C8" w14:textId="38334176" w:rsidR="00CA2D95" w:rsidRDefault="00CA2D95" w:rsidP="00BE2D2C">
            <w:pPr>
              <w:rPr>
                <w:lang w:val="en-US"/>
              </w:rPr>
            </w:pPr>
            <w:r>
              <w:rPr>
                <w:lang w:val="en-US"/>
              </w:rPr>
              <w:t>HARQ-ACK delay based on absolute subframes.</w:t>
            </w:r>
          </w:p>
        </w:tc>
      </w:tr>
    </w:tbl>
    <w:p w14:paraId="660DDA89" w14:textId="77777777" w:rsidR="00CA2D95" w:rsidRDefault="00CA2D95" w:rsidP="00BE2D2C">
      <w:pPr>
        <w:rPr>
          <w:lang w:val="en-US"/>
        </w:rPr>
      </w:pPr>
    </w:p>
    <w:p w14:paraId="4DFAAD3A" w14:textId="685DF93A" w:rsidR="00CA2D95" w:rsidRDefault="00D15203" w:rsidP="00BE2D2C">
      <w:pPr>
        <w:rPr>
          <w:lang w:val="en-US"/>
        </w:rPr>
      </w:pPr>
      <w:r>
        <w:rPr>
          <w:lang w:val="en-US"/>
        </w:rPr>
        <w:t>In the following, we analyze the three alternatives from the set of aspects agreed in the previous meeting:</w:t>
      </w:r>
    </w:p>
    <w:p w14:paraId="140CAF84" w14:textId="77777777" w:rsidR="00D15203" w:rsidRPr="00E54B24" w:rsidRDefault="00D15203" w:rsidP="00D15203">
      <w:pPr>
        <w:pStyle w:val="ListParagraph"/>
        <w:numPr>
          <w:ilvl w:val="0"/>
          <w:numId w:val="36"/>
        </w:numPr>
        <w:rPr>
          <w:lang w:val="en-US"/>
        </w:rPr>
      </w:pPr>
      <w:r w:rsidRPr="00E54B24">
        <w:rPr>
          <w:lang w:val="en-US"/>
        </w:rPr>
        <w:t>Total number of bits required in DCI</w:t>
      </w:r>
    </w:p>
    <w:p w14:paraId="45B61A31" w14:textId="77777777" w:rsidR="00D15203" w:rsidRPr="00E54B24" w:rsidRDefault="00D15203" w:rsidP="00D15203">
      <w:pPr>
        <w:pStyle w:val="ListParagraph"/>
        <w:numPr>
          <w:ilvl w:val="0"/>
          <w:numId w:val="36"/>
        </w:numPr>
        <w:rPr>
          <w:lang w:val="en-US"/>
        </w:rPr>
      </w:pPr>
      <w:r w:rsidRPr="00E54B24">
        <w:rPr>
          <w:lang w:val="en-US"/>
        </w:rPr>
        <w:t>Scenarios that can be handled, including:</w:t>
      </w:r>
    </w:p>
    <w:p w14:paraId="7617AF53" w14:textId="77777777" w:rsidR="00D15203" w:rsidRPr="00E54B24" w:rsidRDefault="00D15203" w:rsidP="00D15203">
      <w:pPr>
        <w:pStyle w:val="ListParagraph"/>
        <w:numPr>
          <w:ilvl w:val="1"/>
          <w:numId w:val="36"/>
        </w:numPr>
        <w:rPr>
          <w:lang w:val="en-US"/>
        </w:rPr>
      </w:pPr>
      <w:r w:rsidRPr="00E54B24">
        <w:rPr>
          <w:lang w:val="en-US"/>
        </w:rPr>
        <w:t>different numbers of scheduled HARQ processes per burst (including dynamically switching between more than 10 HARQ processes and 10 or less HARQ processes)</w:t>
      </w:r>
    </w:p>
    <w:p w14:paraId="05AE0814" w14:textId="77777777" w:rsidR="00D15203" w:rsidRPr="00E54B24" w:rsidRDefault="00D15203" w:rsidP="00D15203">
      <w:pPr>
        <w:pStyle w:val="ListParagraph"/>
        <w:numPr>
          <w:ilvl w:val="1"/>
          <w:numId w:val="36"/>
        </w:numPr>
        <w:rPr>
          <w:lang w:val="en-US"/>
        </w:rPr>
      </w:pPr>
      <w:r w:rsidRPr="00E54B24">
        <w:rPr>
          <w:lang w:val="en-US"/>
        </w:rPr>
        <w:t>different % of invalid subframes for both 10 and 40 SF long bitmaps</w:t>
      </w:r>
    </w:p>
    <w:p w14:paraId="0078A3BD" w14:textId="77777777" w:rsidR="00D15203" w:rsidRPr="00E54B24" w:rsidRDefault="00D15203" w:rsidP="00D15203">
      <w:pPr>
        <w:pStyle w:val="ListParagraph"/>
        <w:numPr>
          <w:ilvl w:val="0"/>
          <w:numId w:val="36"/>
        </w:numPr>
        <w:rPr>
          <w:lang w:val="en-US"/>
        </w:rPr>
      </w:pPr>
      <w:r w:rsidRPr="00E54B24">
        <w:rPr>
          <w:lang w:val="en-US"/>
        </w:rPr>
        <w:t>Robustness against loss of DCIs</w:t>
      </w:r>
    </w:p>
    <w:p w14:paraId="2F2E2D2D" w14:textId="77777777" w:rsidR="00D15203" w:rsidRPr="00E54B24" w:rsidRDefault="00D15203" w:rsidP="00D15203">
      <w:pPr>
        <w:pStyle w:val="ListParagraph"/>
        <w:numPr>
          <w:ilvl w:val="0"/>
          <w:numId w:val="36"/>
        </w:numPr>
        <w:rPr>
          <w:lang w:val="en-US"/>
        </w:rPr>
      </w:pPr>
      <w:r w:rsidRPr="00E54B24">
        <w:rPr>
          <w:lang w:val="en-US"/>
        </w:rPr>
        <w:t xml:space="preserve">Flexibility </w:t>
      </w:r>
    </w:p>
    <w:p w14:paraId="1987F4F0" w14:textId="77777777" w:rsidR="00D15203" w:rsidRPr="00E54B24" w:rsidRDefault="00D15203" w:rsidP="00D15203">
      <w:pPr>
        <w:pStyle w:val="ListParagraph"/>
        <w:numPr>
          <w:ilvl w:val="0"/>
          <w:numId w:val="36"/>
        </w:numPr>
        <w:rPr>
          <w:lang w:val="en-US"/>
        </w:rPr>
      </w:pPr>
      <w:r w:rsidRPr="00E54B24">
        <w:rPr>
          <w:lang w:val="en-US"/>
        </w:rPr>
        <w:t>RRC signaling overhead</w:t>
      </w:r>
    </w:p>
    <w:p w14:paraId="05261B02" w14:textId="31188F28" w:rsidR="00CA2D95" w:rsidRDefault="00D15203" w:rsidP="00D15203">
      <w:pPr>
        <w:pStyle w:val="Heading2"/>
        <w:rPr>
          <w:lang w:val="en-US"/>
        </w:rPr>
      </w:pPr>
      <w:r>
        <w:rPr>
          <w:lang w:val="en-US"/>
        </w:rPr>
        <w:t>Alt 1.1</w:t>
      </w:r>
    </w:p>
    <w:p w14:paraId="05323E79" w14:textId="006614C1" w:rsidR="00D15203" w:rsidRDefault="00D15203" w:rsidP="00D15203">
      <w:pPr>
        <w:rPr>
          <w:lang w:val="en-US"/>
        </w:rPr>
      </w:pPr>
    </w:p>
    <w:p w14:paraId="6736ED2E" w14:textId="73D4EA06" w:rsidR="00D865DC" w:rsidRDefault="00D865DC" w:rsidP="00D15203">
      <w:pPr>
        <w:rPr>
          <w:lang w:val="en-US"/>
        </w:rPr>
      </w:pPr>
      <w:r>
        <w:rPr>
          <w:lang w:val="en-US"/>
        </w:rPr>
        <w:t>The main advantage of this approach is the reduced overhead it requires (2 bits, less than legacy HARQ-ACK delay). This reduced overhead comes with at a clear cost of flexibility and robustness against DCI loss:</w:t>
      </w:r>
    </w:p>
    <w:p w14:paraId="4A22DF9D" w14:textId="283A2A2F" w:rsidR="00D865DC" w:rsidRDefault="00D865DC" w:rsidP="00D865DC">
      <w:pPr>
        <w:pStyle w:val="ListParagraph"/>
        <w:numPr>
          <w:ilvl w:val="0"/>
          <w:numId w:val="40"/>
        </w:numPr>
        <w:rPr>
          <w:lang w:val="en-US"/>
        </w:rPr>
      </w:pPr>
      <w:r w:rsidRPr="005A1A79">
        <w:rPr>
          <w:b/>
          <w:bCs/>
          <w:lang w:val="en-US"/>
        </w:rPr>
        <w:t>If a DCI is missed</w:t>
      </w:r>
      <w:r>
        <w:rPr>
          <w:lang w:val="en-US"/>
        </w:rPr>
        <w:t xml:space="preserve">, the counter </w:t>
      </w:r>
      <w:r>
        <w:rPr>
          <w:i/>
          <w:iCs/>
          <w:lang w:val="en-US"/>
        </w:rPr>
        <w:t>i</w:t>
      </w:r>
      <w:r>
        <w:rPr>
          <w:lang w:val="en-US"/>
        </w:rPr>
        <w:t xml:space="preserve"> will be misaligned between UE and eNB. This will result in the UE transmitting the HARQ-ACK in a wrong subframe, which may lead to NACK to ACK errors.</w:t>
      </w:r>
    </w:p>
    <w:p w14:paraId="5A712051" w14:textId="407B46AB" w:rsidR="00D865DC" w:rsidRDefault="00D865DC" w:rsidP="00D865DC">
      <w:pPr>
        <w:pStyle w:val="ListParagraph"/>
        <w:numPr>
          <w:ilvl w:val="0"/>
          <w:numId w:val="40"/>
        </w:numPr>
        <w:rPr>
          <w:lang w:val="en-US"/>
        </w:rPr>
      </w:pPr>
      <w:r>
        <w:rPr>
          <w:lang w:val="en-US"/>
        </w:rPr>
        <w:t xml:space="preserve">The only scheduling option is to schedule </w:t>
      </w:r>
      <w:r w:rsidRPr="005A1A79">
        <w:rPr>
          <w:b/>
          <w:bCs/>
          <w:lang w:val="en-US"/>
        </w:rPr>
        <w:t>12 HARQ processes per burst</w:t>
      </w:r>
      <w:r>
        <w:rPr>
          <w:lang w:val="en-US"/>
        </w:rPr>
        <w:t>. This may be very inefficient if small amounts of data are required, and offers no scheduling flexibility to the eNB.</w:t>
      </w:r>
    </w:p>
    <w:p w14:paraId="5452DE4B" w14:textId="7C276841" w:rsidR="00D865DC" w:rsidRDefault="00D865DC" w:rsidP="00D865DC">
      <w:pPr>
        <w:rPr>
          <w:lang w:val="en-US"/>
        </w:rPr>
      </w:pPr>
      <w:r>
        <w:rPr>
          <w:lang w:val="en-US"/>
        </w:rPr>
        <w:t>In view of the points above, and despite the reduced overhead, Alt 1.1 has very clear drawbacks and should not be supported.</w:t>
      </w:r>
    </w:p>
    <w:p w14:paraId="09729518" w14:textId="088FB548" w:rsidR="00D865DC" w:rsidRDefault="00D865DC" w:rsidP="00D865DC">
      <w:pPr>
        <w:pStyle w:val="Heading2"/>
        <w:rPr>
          <w:lang w:val="en-US"/>
        </w:rPr>
      </w:pPr>
      <w:r>
        <w:rPr>
          <w:lang w:val="en-US"/>
        </w:rPr>
        <w:lastRenderedPageBreak/>
        <w:t>Alt 1.2</w:t>
      </w:r>
    </w:p>
    <w:p w14:paraId="3392DDAE" w14:textId="0BCE70F2" w:rsidR="00D865DC" w:rsidRDefault="00D865DC" w:rsidP="00D865DC">
      <w:pPr>
        <w:rPr>
          <w:lang w:val="en-US"/>
        </w:rPr>
      </w:pPr>
    </w:p>
    <w:p w14:paraId="09CFA260" w14:textId="4AEB58B6" w:rsidR="00D865DC" w:rsidRDefault="00D865DC" w:rsidP="00D865DC">
      <w:pPr>
        <w:rPr>
          <w:lang w:val="en-US"/>
        </w:rPr>
      </w:pPr>
      <w:r>
        <w:rPr>
          <w:lang w:val="en-US"/>
        </w:rPr>
        <w:t xml:space="preserve">Alt 1.2 is based on signaling two values, </w:t>
      </w:r>
      <w:r>
        <w:rPr>
          <w:i/>
          <w:iCs/>
          <w:lang w:val="en-US"/>
        </w:rPr>
        <w:t xml:space="preserve">y </w:t>
      </w:r>
      <w:r>
        <w:rPr>
          <w:lang w:val="en-US"/>
        </w:rPr>
        <w:t xml:space="preserve">and </w:t>
      </w:r>
      <w:r>
        <w:rPr>
          <w:i/>
          <w:iCs/>
          <w:lang w:val="en-US"/>
        </w:rPr>
        <w:t>z</w:t>
      </w:r>
      <w:r>
        <w:rPr>
          <w:lang w:val="en-US"/>
        </w:rPr>
        <w:t xml:space="preserve">, where </w:t>
      </w:r>
      <w:r>
        <w:rPr>
          <w:i/>
          <w:iCs/>
          <w:lang w:val="en-US"/>
        </w:rPr>
        <w:t>y=</w:t>
      </w:r>
      <w:r>
        <w:rPr>
          <w:lang w:val="en-US"/>
        </w:rPr>
        <w:t xml:space="preserve">4…13 (10 values) and </w:t>
      </w:r>
      <w:r>
        <w:rPr>
          <w:i/>
          <w:iCs/>
          <w:lang w:val="en-US"/>
        </w:rPr>
        <w:t>z</w:t>
      </w:r>
      <w:r>
        <w:rPr>
          <w:lang w:val="en-US"/>
        </w:rPr>
        <w:t>=1,2,3 (3 values). Assuming joint encoding of these two values, the UE would need a total of 30 combinations, which requires 5 bits. The main advantage of this method is that it allows to handle any number of invalid uplink and downlink subframes. The main drawbacks are as follows:</w:t>
      </w:r>
    </w:p>
    <w:p w14:paraId="41B719D4" w14:textId="008E0A20" w:rsidR="00D865DC" w:rsidRDefault="00D865DC" w:rsidP="00D865DC">
      <w:pPr>
        <w:pStyle w:val="ListParagraph"/>
        <w:numPr>
          <w:ilvl w:val="0"/>
          <w:numId w:val="41"/>
        </w:numPr>
        <w:rPr>
          <w:lang w:val="en-US"/>
        </w:rPr>
      </w:pPr>
      <w:r>
        <w:rPr>
          <w:lang w:val="en-US"/>
        </w:rPr>
        <w:t xml:space="preserve">There is a </w:t>
      </w:r>
      <w:r w:rsidRPr="005A1A79">
        <w:rPr>
          <w:b/>
          <w:bCs/>
          <w:lang w:val="en-US"/>
        </w:rPr>
        <w:t>fixed overhead of 5 bits</w:t>
      </w:r>
      <w:r>
        <w:rPr>
          <w:lang w:val="en-US"/>
        </w:rPr>
        <w:t xml:space="preserve"> even for the case where </w:t>
      </w:r>
      <w:r w:rsidR="0033382D">
        <w:rPr>
          <w:lang w:val="en-US"/>
        </w:rPr>
        <w:t>all the subframes are valid (for this case, 3 bits would suffice).</w:t>
      </w:r>
    </w:p>
    <w:p w14:paraId="642715A3" w14:textId="065AACC7" w:rsidR="0033382D" w:rsidRDefault="0033382D" w:rsidP="00D865DC">
      <w:pPr>
        <w:pStyle w:val="ListParagraph"/>
        <w:numPr>
          <w:ilvl w:val="0"/>
          <w:numId w:val="41"/>
        </w:numPr>
        <w:rPr>
          <w:lang w:val="en-US"/>
        </w:rPr>
      </w:pPr>
      <w:r>
        <w:rPr>
          <w:lang w:val="en-US"/>
        </w:rPr>
        <w:t xml:space="preserve">Despite the large number of bits, there are </w:t>
      </w:r>
      <w:r w:rsidRPr="005A1A79">
        <w:rPr>
          <w:b/>
          <w:bCs/>
          <w:lang w:val="en-US"/>
        </w:rPr>
        <w:t>some legacy scheduling cases that cannot be handled</w:t>
      </w:r>
      <w:r>
        <w:rPr>
          <w:lang w:val="en-US"/>
        </w:rPr>
        <w:t xml:space="preserve">. </w:t>
      </w:r>
      <w:r w:rsidR="00137D1E">
        <w:rPr>
          <w:lang w:val="en-US"/>
        </w:rPr>
        <w:t>For instance, t</w:t>
      </w:r>
      <w:r>
        <w:rPr>
          <w:lang w:val="en-US"/>
        </w:rPr>
        <w:t xml:space="preserve">aking the same example as in </w:t>
      </w:r>
      <w:r w:rsidRPr="0033382D">
        <w:rPr>
          <w:lang w:val="en-US"/>
        </w:rPr>
        <w:t>R1-2102358</w:t>
      </w:r>
      <w:r w:rsidR="00137D1E">
        <w:rPr>
          <w:lang w:val="en-US"/>
        </w:rPr>
        <w:t>, the following pattern (which is N+4) is not schedulable with the proposed method.</w:t>
      </w:r>
    </w:p>
    <w:p w14:paraId="15066CC7" w14:textId="261F5DD4" w:rsidR="0033382D" w:rsidRDefault="0033382D" w:rsidP="0033382D">
      <w:pPr>
        <w:pStyle w:val="Caption"/>
        <w:keepNext/>
        <w:jc w:val="center"/>
      </w:pPr>
      <w:r>
        <w:t xml:space="preserve">Table </w:t>
      </w:r>
      <w:r w:rsidR="009330C9">
        <w:fldChar w:fldCharType="begin"/>
      </w:r>
      <w:r w:rsidR="009330C9">
        <w:instrText xml:space="preserve"> SEQ Table \* ARABIC </w:instrText>
      </w:r>
      <w:r w:rsidR="009330C9">
        <w:fldChar w:fldCharType="separate"/>
      </w:r>
      <w:r>
        <w:rPr>
          <w:noProof/>
        </w:rPr>
        <w:t>1</w:t>
      </w:r>
      <w:r w:rsidR="009330C9">
        <w:rPr>
          <w:noProof/>
        </w:rPr>
        <w:fldChar w:fldCharType="end"/>
      </w:r>
      <w:r>
        <w:t xml:space="preserve"> Example from R1-2102358 that cannot be scheduled with Alt 1.2 but is schedulable in Rel-16</w:t>
      </w:r>
    </w:p>
    <w:tbl>
      <w:tblPr>
        <w:tblW w:w="5460" w:type="dxa"/>
        <w:jc w:val="center"/>
        <w:tblLook w:val="04A0" w:firstRow="1" w:lastRow="0" w:firstColumn="1" w:lastColumn="0" w:noHBand="0" w:noVBand="1"/>
      </w:tblPr>
      <w:tblGrid>
        <w:gridCol w:w="1260"/>
        <w:gridCol w:w="420"/>
        <w:gridCol w:w="420"/>
        <w:gridCol w:w="420"/>
        <w:gridCol w:w="420"/>
        <w:gridCol w:w="420"/>
        <w:gridCol w:w="420"/>
        <w:gridCol w:w="420"/>
        <w:gridCol w:w="420"/>
        <w:gridCol w:w="420"/>
        <w:gridCol w:w="420"/>
      </w:tblGrid>
      <w:tr w:rsidR="0033382D" w:rsidRPr="0033382D" w14:paraId="06C30035" w14:textId="77777777" w:rsidTr="0033382D">
        <w:trPr>
          <w:trHeight w:val="300"/>
          <w:jc w:val="center"/>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0AAF92" w14:textId="77777777" w:rsidR="0033382D" w:rsidRPr="0033382D" w:rsidRDefault="0033382D" w:rsidP="0033382D">
            <w:pPr>
              <w:spacing w:after="0"/>
              <w:rPr>
                <w:rFonts w:ascii="Calibri" w:hAnsi="Calibri" w:cs="Calibri"/>
                <w:color w:val="000000"/>
                <w:sz w:val="22"/>
                <w:szCs w:val="22"/>
                <w:lang w:val="en-US"/>
              </w:rPr>
            </w:pPr>
            <w:r w:rsidRPr="0033382D">
              <w:rPr>
                <w:rFonts w:ascii="Calibri" w:hAnsi="Calibri" w:cs="Calibri"/>
                <w:color w:val="000000"/>
                <w:sz w:val="22"/>
                <w:szCs w:val="22"/>
                <w:lang w:val="en-US"/>
              </w:rPr>
              <w:t> </w: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14:paraId="66FE5B10" w14:textId="77777777" w:rsidR="0033382D" w:rsidRPr="0033382D" w:rsidRDefault="0033382D" w:rsidP="0033382D">
            <w:pPr>
              <w:spacing w:after="0"/>
              <w:jc w:val="right"/>
              <w:rPr>
                <w:rFonts w:ascii="Calibri" w:hAnsi="Calibri" w:cs="Calibri"/>
                <w:color w:val="000000"/>
                <w:sz w:val="22"/>
                <w:szCs w:val="22"/>
                <w:lang w:val="en-US"/>
              </w:rPr>
            </w:pPr>
            <w:r w:rsidRPr="0033382D">
              <w:rPr>
                <w:rFonts w:ascii="Calibri" w:hAnsi="Calibri" w:cs="Calibri"/>
                <w:color w:val="000000"/>
                <w:sz w:val="22"/>
                <w:szCs w:val="22"/>
                <w:lang w:val="en-US"/>
              </w:rPr>
              <w:t>0</w: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14:paraId="46F86BA6" w14:textId="77777777" w:rsidR="0033382D" w:rsidRPr="0033382D" w:rsidRDefault="0033382D" w:rsidP="0033382D">
            <w:pPr>
              <w:spacing w:after="0"/>
              <w:jc w:val="right"/>
              <w:rPr>
                <w:rFonts w:ascii="Calibri" w:hAnsi="Calibri" w:cs="Calibri"/>
                <w:color w:val="000000"/>
                <w:sz w:val="22"/>
                <w:szCs w:val="22"/>
                <w:lang w:val="en-US"/>
              </w:rPr>
            </w:pPr>
            <w:r w:rsidRPr="0033382D">
              <w:rPr>
                <w:rFonts w:ascii="Calibri" w:hAnsi="Calibri" w:cs="Calibri"/>
                <w:color w:val="000000"/>
                <w:sz w:val="22"/>
                <w:szCs w:val="22"/>
                <w:lang w:val="en-US"/>
              </w:rPr>
              <w:t>1</w: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14:paraId="43469C4A" w14:textId="77777777" w:rsidR="0033382D" w:rsidRPr="0033382D" w:rsidRDefault="0033382D" w:rsidP="0033382D">
            <w:pPr>
              <w:spacing w:after="0"/>
              <w:jc w:val="right"/>
              <w:rPr>
                <w:rFonts w:ascii="Calibri" w:hAnsi="Calibri" w:cs="Calibri"/>
                <w:color w:val="000000"/>
                <w:sz w:val="22"/>
                <w:szCs w:val="22"/>
                <w:lang w:val="en-US"/>
              </w:rPr>
            </w:pPr>
            <w:r w:rsidRPr="0033382D">
              <w:rPr>
                <w:rFonts w:ascii="Calibri" w:hAnsi="Calibri" w:cs="Calibri"/>
                <w:color w:val="000000"/>
                <w:sz w:val="22"/>
                <w:szCs w:val="22"/>
                <w:lang w:val="en-US"/>
              </w:rPr>
              <w:t>2</w: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14:paraId="06E6ACAF" w14:textId="77777777" w:rsidR="0033382D" w:rsidRPr="0033382D" w:rsidRDefault="0033382D" w:rsidP="0033382D">
            <w:pPr>
              <w:spacing w:after="0"/>
              <w:jc w:val="right"/>
              <w:rPr>
                <w:rFonts w:ascii="Calibri" w:hAnsi="Calibri" w:cs="Calibri"/>
                <w:color w:val="000000"/>
                <w:sz w:val="22"/>
                <w:szCs w:val="22"/>
                <w:lang w:val="en-US"/>
              </w:rPr>
            </w:pPr>
            <w:r w:rsidRPr="0033382D">
              <w:rPr>
                <w:rFonts w:ascii="Calibri" w:hAnsi="Calibri" w:cs="Calibri"/>
                <w:color w:val="000000"/>
                <w:sz w:val="22"/>
                <w:szCs w:val="22"/>
                <w:lang w:val="en-US"/>
              </w:rPr>
              <w:t>3</w: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14:paraId="5A7B7B55" w14:textId="77777777" w:rsidR="0033382D" w:rsidRPr="0033382D" w:rsidRDefault="0033382D" w:rsidP="0033382D">
            <w:pPr>
              <w:spacing w:after="0"/>
              <w:jc w:val="right"/>
              <w:rPr>
                <w:rFonts w:ascii="Calibri" w:hAnsi="Calibri" w:cs="Calibri"/>
                <w:color w:val="000000"/>
                <w:sz w:val="22"/>
                <w:szCs w:val="22"/>
                <w:lang w:val="en-US"/>
              </w:rPr>
            </w:pPr>
            <w:r w:rsidRPr="0033382D">
              <w:rPr>
                <w:rFonts w:ascii="Calibri" w:hAnsi="Calibri" w:cs="Calibri"/>
                <w:color w:val="000000"/>
                <w:sz w:val="22"/>
                <w:szCs w:val="22"/>
                <w:lang w:val="en-US"/>
              </w:rPr>
              <w:t>4</w: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14:paraId="4E3749D7" w14:textId="77777777" w:rsidR="0033382D" w:rsidRPr="0033382D" w:rsidRDefault="0033382D" w:rsidP="0033382D">
            <w:pPr>
              <w:spacing w:after="0"/>
              <w:jc w:val="right"/>
              <w:rPr>
                <w:rFonts w:ascii="Calibri" w:hAnsi="Calibri" w:cs="Calibri"/>
                <w:color w:val="000000"/>
                <w:sz w:val="22"/>
                <w:szCs w:val="22"/>
                <w:lang w:val="en-US"/>
              </w:rPr>
            </w:pPr>
            <w:r w:rsidRPr="0033382D">
              <w:rPr>
                <w:rFonts w:ascii="Calibri" w:hAnsi="Calibri" w:cs="Calibri"/>
                <w:color w:val="000000"/>
                <w:sz w:val="22"/>
                <w:szCs w:val="22"/>
                <w:lang w:val="en-US"/>
              </w:rPr>
              <w:t>5</w: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14:paraId="3A188E67" w14:textId="77777777" w:rsidR="0033382D" w:rsidRPr="0033382D" w:rsidRDefault="0033382D" w:rsidP="0033382D">
            <w:pPr>
              <w:spacing w:after="0"/>
              <w:jc w:val="right"/>
              <w:rPr>
                <w:rFonts w:ascii="Calibri" w:hAnsi="Calibri" w:cs="Calibri"/>
                <w:color w:val="000000"/>
                <w:sz w:val="22"/>
                <w:szCs w:val="22"/>
                <w:lang w:val="en-US"/>
              </w:rPr>
            </w:pPr>
            <w:r w:rsidRPr="0033382D">
              <w:rPr>
                <w:rFonts w:ascii="Calibri" w:hAnsi="Calibri" w:cs="Calibri"/>
                <w:color w:val="000000"/>
                <w:sz w:val="22"/>
                <w:szCs w:val="22"/>
                <w:lang w:val="en-US"/>
              </w:rPr>
              <w:t>6</w: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14:paraId="5B1BE254" w14:textId="77777777" w:rsidR="0033382D" w:rsidRPr="0033382D" w:rsidRDefault="0033382D" w:rsidP="0033382D">
            <w:pPr>
              <w:spacing w:after="0"/>
              <w:jc w:val="right"/>
              <w:rPr>
                <w:rFonts w:ascii="Calibri" w:hAnsi="Calibri" w:cs="Calibri"/>
                <w:color w:val="000000"/>
                <w:sz w:val="22"/>
                <w:szCs w:val="22"/>
                <w:lang w:val="en-US"/>
              </w:rPr>
            </w:pPr>
            <w:r w:rsidRPr="0033382D">
              <w:rPr>
                <w:rFonts w:ascii="Calibri" w:hAnsi="Calibri" w:cs="Calibri"/>
                <w:color w:val="000000"/>
                <w:sz w:val="22"/>
                <w:szCs w:val="22"/>
                <w:lang w:val="en-US"/>
              </w:rPr>
              <w:t>7</w: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14:paraId="57C69358" w14:textId="77777777" w:rsidR="0033382D" w:rsidRPr="0033382D" w:rsidRDefault="0033382D" w:rsidP="0033382D">
            <w:pPr>
              <w:spacing w:after="0"/>
              <w:jc w:val="right"/>
              <w:rPr>
                <w:rFonts w:ascii="Calibri" w:hAnsi="Calibri" w:cs="Calibri"/>
                <w:color w:val="000000"/>
                <w:sz w:val="22"/>
                <w:szCs w:val="22"/>
                <w:lang w:val="en-US"/>
              </w:rPr>
            </w:pPr>
            <w:r w:rsidRPr="0033382D">
              <w:rPr>
                <w:rFonts w:ascii="Calibri" w:hAnsi="Calibri" w:cs="Calibri"/>
                <w:color w:val="000000"/>
                <w:sz w:val="22"/>
                <w:szCs w:val="22"/>
                <w:lang w:val="en-US"/>
              </w:rPr>
              <w:t>8</w: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14:paraId="780F8735" w14:textId="77777777" w:rsidR="0033382D" w:rsidRPr="0033382D" w:rsidRDefault="0033382D" w:rsidP="0033382D">
            <w:pPr>
              <w:spacing w:after="0"/>
              <w:jc w:val="right"/>
              <w:rPr>
                <w:rFonts w:ascii="Calibri" w:hAnsi="Calibri" w:cs="Calibri"/>
                <w:color w:val="000000"/>
                <w:sz w:val="22"/>
                <w:szCs w:val="22"/>
                <w:lang w:val="en-US"/>
              </w:rPr>
            </w:pPr>
            <w:r w:rsidRPr="0033382D">
              <w:rPr>
                <w:rFonts w:ascii="Calibri" w:hAnsi="Calibri" w:cs="Calibri"/>
                <w:color w:val="000000"/>
                <w:sz w:val="22"/>
                <w:szCs w:val="22"/>
                <w:lang w:val="en-US"/>
              </w:rPr>
              <w:t>9</w:t>
            </w:r>
          </w:p>
        </w:tc>
      </w:tr>
      <w:tr w:rsidR="0033382D" w:rsidRPr="0033382D" w14:paraId="26D59D5F" w14:textId="77777777" w:rsidTr="0033382D">
        <w:trPr>
          <w:trHeight w:val="300"/>
          <w:jc w:val="center"/>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01EB9FCA" w14:textId="77777777" w:rsidR="0033382D" w:rsidRPr="0033382D" w:rsidRDefault="0033382D" w:rsidP="0033382D">
            <w:pPr>
              <w:spacing w:after="0"/>
              <w:rPr>
                <w:rFonts w:ascii="Calibri" w:hAnsi="Calibri" w:cs="Calibri"/>
                <w:color w:val="000000"/>
                <w:sz w:val="22"/>
                <w:szCs w:val="22"/>
                <w:lang w:val="en-US"/>
              </w:rPr>
            </w:pPr>
            <w:r w:rsidRPr="0033382D">
              <w:rPr>
                <w:rFonts w:ascii="Calibri" w:hAnsi="Calibri" w:cs="Calibri"/>
                <w:color w:val="000000"/>
                <w:sz w:val="22"/>
                <w:szCs w:val="22"/>
                <w:lang w:val="en-US"/>
              </w:rPr>
              <w:t>DL bitmap</w:t>
            </w:r>
          </w:p>
        </w:tc>
        <w:tc>
          <w:tcPr>
            <w:tcW w:w="420" w:type="dxa"/>
            <w:tcBorders>
              <w:top w:val="nil"/>
              <w:left w:val="nil"/>
              <w:bottom w:val="single" w:sz="4" w:space="0" w:color="auto"/>
              <w:right w:val="single" w:sz="4" w:space="0" w:color="auto"/>
            </w:tcBorders>
            <w:shd w:val="clear" w:color="auto" w:fill="auto"/>
            <w:noWrap/>
            <w:vAlign w:val="bottom"/>
            <w:hideMark/>
          </w:tcPr>
          <w:p w14:paraId="475DB424" w14:textId="34136716" w:rsidR="0033382D" w:rsidRPr="0033382D" w:rsidRDefault="0033382D" w:rsidP="0033382D">
            <w:pPr>
              <w:spacing w:after="0"/>
              <w:rPr>
                <w:rFonts w:ascii="Calibri" w:hAnsi="Calibri" w:cs="Calibri"/>
                <w:color w:val="000000"/>
                <w:sz w:val="22"/>
                <w:szCs w:val="22"/>
                <w:lang w:val="en-US"/>
              </w:rPr>
            </w:pPr>
          </w:p>
        </w:tc>
        <w:tc>
          <w:tcPr>
            <w:tcW w:w="420" w:type="dxa"/>
            <w:tcBorders>
              <w:top w:val="nil"/>
              <w:left w:val="nil"/>
              <w:bottom w:val="single" w:sz="4" w:space="0" w:color="auto"/>
              <w:right w:val="single" w:sz="4" w:space="0" w:color="auto"/>
            </w:tcBorders>
            <w:shd w:val="clear" w:color="auto" w:fill="auto"/>
            <w:noWrap/>
            <w:vAlign w:val="bottom"/>
            <w:hideMark/>
          </w:tcPr>
          <w:p w14:paraId="70D4A5EA" w14:textId="315FDF3A" w:rsidR="0033382D" w:rsidRPr="0033382D" w:rsidRDefault="0033382D" w:rsidP="0033382D">
            <w:pPr>
              <w:spacing w:after="0"/>
              <w:rPr>
                <w:rFonts w:ascii="Calibri" w:hAnsi="Calibri" w:cs="Calibri"/>
                <w:b/>
                <w:bCs/>
                <w:color w:val="000000"/>
                <w:sz w:val="22"/>
                <w:szCs w:val="22"/>
                <w:lang w:val="en-US"/>
              </w:rPr>
            </w:pPr>
            <w:r w:rsidRPr="0033382D">
              <w:rPr>
                <w:rFonts w:ascii="Calibri" w:hAnsi="Calibri" w:cs="Calibri"/>
                <w:color w:val="FF0000"/>
                <w:sz w:val="22"/>
                <w:szCs w:val="22"/>
                <w:lang w:val="en-US"/>
              </w:rPr>
              <w:t> </w:t>
            </w:r>
            <w:r w:rsidR="00137D1E" w:rsidRPr="00137D1E">
              <w:rPr>
                <w:rFonts w:ascii="Calibri" w:hAnsi="Calibri" w:cs="Calibri"/>
                <w:b/>
                <w:bCs/>
                <w:color w:val="FF0000"/>
                <w:sz w:val="22"/>
                <w:szCs w:val="22"/>
                <w:lang w:val="en-US"/>
              </w:rPr>
              <w:t>D</w:t>
            </w:r>
          </w:p>
        </w:tc>
        <w:tc>
          <w:tcPr>
            <w:tcW w:w="420" w:type="dxa"/>
            <w:tcBorders>
              <w:top w:val="nil"/>
              <w:left w:val="nil"/>
              <w:bottom w:val="single" w:sz="4" w:space="0" w:color="auto"/>
              <w:right w:val="single" w:sz="4" w:space="0" w:color="auto"/>
            </w:tcBorders>
            <w:shd w:val="clear" w:color="000000" w:fill="4472C4"/>
            <w:noWrap/>
            <w:vAlign w:val="bottom"/>
            <w:hideMark/>
          </w:tcPr>
          <w:p w14:paraId="28EDF4E0" w14:textId="77777777" w:rsidR="0033382D" w:rsidRPr="0033382D" w:rsidRDefault="0033382D" w:rsidP="0033382D">
            <w:pPr>
              <w:spacing w:after="0"/>
              <w:rPr>
                <w:rFonts w:ascii="Calibri" w:hAnsi="Calibri" w:cs="Calibri"/>
                <w:color w:val="000000"/>
                <w:sz w:val="22"/>
                <w:szCs w:val="22"/>
                <w:lang w:val="en-US"/>
              </w:rPr>
            </w:pPr>
            <w:r w:rsidRPr="0033382D">
              <w:rPr>
                <w:rFonts w:ascii="Calibri" w:hAnsi="Calibri" w:cs="Calibri"/>
                <w:color w:val="000000"/>
                <w:sz w:val="22"/>
                <w:szCs w:val="22"/>
                <w:lang w:val="en-US"/>
              </w:rPr>
              <w:t> </w:t>
            </w:r>
          </w:p>
        </w:tc>
        <w:tc>
          <w:tcPr>
            <w:tcW w:w="420" w:type="dxa"/>
            <w:tcBorders>
              <w:top w:val="nil"/>
              <w:left w:val="nil"/>
              <w:bottom w:val="single" w:sz="4" w:space="0" w:color="auto"/>
              <w:right w:val="single" w:sz="4" w:space="0" w:color="auto"/>
            </w:tcBorders>
            <w:shd w:val="clear" w:color="auto" w:fill="auto"/>
            <w:noWrap/>
            <w:vAlign w:val="bottom"/>
            <w:hideMark/>
          </w:tcPr>
          <w:p w14:paraId="4BD7FA62" w14:textId="7E05802E" w:rsidR="0033382D" w:rsidRPr="0033382D" w:rsidRDefault="0033382D" w:rsidP="0033382D">
            <w:pPr>
              <w:spacing w:after="0"/>
              <w:rPr>
                <w:rFonts w:ascii="Calibri" w:hAnsi="Calibri" w:cs="Calibri"/>
                <w:b/>
                <w:bCs/>
                <w:color w:val="FF0000"/>
                <w:sz w:val="22"/>
                <w:szCs w:val="22"/>
                <w:lang w:val="en-US"/>
              </w:rPr>
            </w:pPr>
          </w:p>
        </w:tc>
        <w:tc>
          <w:tcPr>
            <w:tcW w:w="420" w:type="dxa"/>
            <w:tcBorders>
              <w:top w:val="nil"/>
              <w:left w:val="nil"/>
              <w:bottom w:val="single" w:sz="4" w:space="0" w:color="auto"/>
              <w:right w:val="single" w:sz="4" w:space="0" w:color="auto"/>
            </w:tcBorders>
            <w:shd w:val="clear" w:color="auto" w:fill="auto"/>
            <w:noWrap/>
            <w:vAlign w:val="bottom"/>
            <w:hideMark/>
          </w:tcPr>
          <w:p w14:paraId="37AD669B" w14:textId="77777777" w:rsidR="0033382D" w:rsidRPr="0033382D" w:rsidRDefault="0033382D" w:rsidP="0033382D">
            <w:pPr>
              <w:spacing w:after="0"/>
              <w:rPr>
                <w:rFonts w:ascii="Calibri" w:hAnsi="Calibri" w:cs="Calibri"/>
                <w:color w:val="000000"/>
                <w:sz w:val="22"/>
                <w:szCs w:val="22"/>
                <w:lang w:val="en-US"/>
              </w:rPr>
            </w:pPr>
            <w:r w:rsidRPr="0033382D">
              <w:rPr>
                <w:rFonts w:ascii="Calibri" w:hAnsi="Calibri" w:cs="Calibri"/>
                <w:color w:val="000000"/>
                <w:sz w:val="22"/>
                <w:szCs w:val="22"/>
                <w:lang w:val="en-US"/>
              </w:rPr>
              <w:t> </w:t>
            </w:r>
          </w:p>
        </w:tc>
        <w:tc>
          <w:tcPr>
            <w:tcW w:w="420" w:type="dxa"/>
            <w:tcBorders>
              <w:top w:val="nil"/>
              <w:left w:val="nil"/>
              <w:bottom w:val="single" w:sz="4" w:space="0" w:color="auto"/>
              <w:right w:val="single" w:sz="4" w:space="0" w:color="auto"/>
            </w:tcBorders>
            <w:shd w:val="clear" w:color="auto" w:fill="auto"/>
            <w:noWrap/>
            <w:vAlign w:val="bottom"/>
            <w:hideMark/>
          </w:tcPr>
          <w:p w14:paraId="12461C75" w14:textId="77777777" w:rsidR="0033382D" w:rsidRPr="0033382D" w:rsidRDefault="0033382D" w:rsidP="0033382D">
            <w:pPr>
              <w:spacing w:after="0"/>
              <w:rPr>
                <w:rFonts w:ascii="Calibri" w:hAnsi="Calibri" w:cs="Calibri"/>
                <w:color w:val="000000"/>
                <w:sz w:val="22"/>
                <w:szCs w:val="22"/>
                <w:lang w:val="en-US"/>
              </w:rPr>
            </w:pPr>
            <w:r w:rsidRPr="0033382D">
              <w:rPr>
                <w:rFonts w:ascii="Calibri" w:hAnsi="Calibri" w:cs="Calibri"/>
                <w:color w:val="000000"/>
                <w:sz w:val="22"/>
                <w:szCs w:val="22"/>
                <w:lang w:val="en-US"/>
              </w:rPr>
              <w:t> </w:t>
            </w:r>
          </w:p>
        </w:tc>
        <w:tc>
          <w:tcPr>
            <w:tcW w:w="420" w:type="dxa"/>
            <w:tcBorders>
              <w:top w:val="nil"/>
              <w:left w:val="nil"/>
              <w:bottom w:val="single" w:sz="4" w:space="0" w:color="auto"/>
              <w:right w:val="single" w:sz="4" w:space="0" w:color="auto"/>
            </w:tcBorders>
            <w:shd w:val="clear" w:color="auto" w:fill="auto"/>
            <w:noWrap/>
            <w:vAlign w:val="bottom"/>
            <w:hideMark/>
          </w:tcPr>
          <w:p w14:paraId="26BE674F" w14:textId="77777777" w:rsidR="0033382D" w:rsidRPr="0033382D" w:rsidRDefault="0033382D" w:rsidP="0033382D">
            <w:pPr>
              <w:spacing w:after="0"/>
              <w:rPr>
                <w:rFonts w:ascii="Calibri" w:hAnsi="Calibri" w:cs="Calibri"/>
                <w:color w:val="000000"/>
                <w:sz w:val="22"/>
                <w:szCs w:val="22"/>
                <w:lang w:val="en-US"/>
              </w:rPr>
            </w:pPr>
            <w:r w:rsidRPr="0033382D">
              <w:rPr>
                <w:rFonts w:ascii="Calibri" w:hAnsi="Calibri" w:cs="Calibri"/>
                <w:color w:val="000000"/>
                <w:sz w:val="22"/>
                <w:szCs w:val="22"/>
                <w:lang w:val="en-US"/>
              </w:rPr>
              <w:t> </w:t>
            </w:r>
          </w:p>
        </w:tc>
        <w:tc>
          <w:tcPr>
            <w:tcW w:w="420" w:type="dxa"/>
            <w:tcBorders>
              <w:top w:val="nil"/>
              <w:left w:val="nil"/>
              <w:bottom w:val="single" w:sz="4" w:space="0" w:color="auto"/>
              <w:right w:val="single" w:sz="4" w:space="0" w:color="auto"/>
            </w:tcBorders>
            <w:shd w:val="clear" w:color="auto" w:fill="auto"/>
            <w:noWrap/>
            <w:vAlign w:val="bottom"/>
            <w:hideMark/>
          </w:tcPr>
          <w:p w14:paraId="718DFB04" w14:textId="77777777" w:rsidR="0033382D" w:rsidRPr="0033382D" w:rsidRDefault="0033382D" w:rsidP="0033382D">
            <w:pPr>
              <w:spacing w:after="0"/>
              <w:rPr>
                <w:rFonts w:ascii="Calibri" w:hAnsi="Calibri" w:cs="Calibri"/>
                <w:color w:val="000000"/>
                <w:sz w:val="22"/>
                <w:szCs w:val="22"/>
                <w:lang w:val="en-US"/>
              </w:rPr>
            </w:pPr>
            <w:r w:rsidRPr="0033382D">
              <w:rPr>
                <w:rFonts w:ascii="Calibri" w:hAnsi="Calibri" w:cs="Calibri"/>
                <w:color w:val="000000"/>
                <w:sz w:val="22"/>
                <w:szCs w:val="22"/>
                <w:lang w:val="en-US"/>
              </w:rPr>
              <w:t> </w:t>
            </w:r>
          </w:p>
        </w:tc>
        <w:tc>
          <w:tcPr>
            <w:tcW w:w="420" w:type="dxa"/>
            <w:tcBorders>
              <w:top w:val="nil"/>
              <w:left w:val="nil"/>
              <w:bottom w:val="single" w:sz="4" w:space="0" w:color="auto"/>
              <w:right w:val="single" w:sz="4" w:space="0" w:color="auto"/>
            </w:tcBorders>
            <w:shd w:val="clear" w:color="auto" w:fill="auto"/>
            <w:noWrap/>
            <w:vAlign w:val="bottom"/>
            <w:hideMark/>
          </w:tcPr>
          <w:p w14:paraId="6EE3C6EE" w14:textId="77777777" w:rsidR="0033382D" w:rsidRPr="0033382D" w:rsidRDefault="0033382D" w:rsidP="0033382D">
            <w:pPr>
              <w:spacing w:after="0"/>
              <w:rPr>
                <w:rFonts w:ascii="Calibri" w:hAnsi="Calibri" w:cs="Calibri"/>
                <w:color w:val="000000"/>
                <w:sz w:val="22"/>
                <w:szCs w:val="22"/>
                <w:lang w:val="en-US"/>
              </w:rPr>
            </w:pPr>
            <w:r w:rsidRPr="0033382D">
              <w:rPr>
                <w:rFonts w:ascii="Calibri" w:hAnsi="Calibri" w:cs="Calibri"/>
                <w:color w:val="000000"/>
                <w:sz w:val="22"/>
                <w:szCs w:val="22"/>
                <w:lang w:val="en-US"/>
              </w:rPr>
              <w:t> </w:t>
            </w:r>
          </w:p>
        </w:tc>
        <w:tc>
          <w:tcPr>
            <w:tcW w:w="420" w:type="dxa"/>
            <w:tcBorders>
              <w:top w:val="nil"/>
              <w:left w:val="nil"/>
              <w:bottom w:val="single" w:sz="4" w:space="0" w:color="auto"/>
              <w:right w:val="single" w:sz="4" w:space="0" w:color="auto"/>
            </w:tcBorders>
            <w:shd w:val="clear" w:color="000000" w:fill="4472C4"/>
            <w:noWrap/>
            <w:vAlign w:val="bottom"/>
            <w:hideMark/>
          </w:tcPr>
          <w:p w14:paraId="335389AE" w14:textId="77777777" w:rsidR="0033382D" w:rsidRPr="0033382D" w:rsidRDefault="0033382D" w:rsidP="0033382D">
            <w:pPr>
              <w:spacing w:after="0"/>
              <w:rPr>
                <w:rFonts w:ascii="Calibri" w:hAnsi="Calibri" w:cs="Calibri"/>
                <w:color w:val="000000"/>
                <w:sz w:val="22"/>
                <w:szCs w:val="22"/>
                <w:lang w:val="en-US"/>
              </w:rPr>
            </w:pPr>
            <w:r w:rsidRPr="0033382D">
              <w:rPr>
                <w:rFonts w:ascii="Calibri" w:hAnsi="Calibri" w:cs="Calibri"/>
                <w:color w:val="000000"/>
                <w:sz w:val="22"/>
                <w:szCs w:val="22"/>
                <w:lang w:val="en-US"/>
              </w:rPr>
              <w:t> </w:t>
            </w:r>
          </w:p>
        </w:tc>
      </w:tr>
      <w:tr w:rsidR="0033382D" w:rsidRPr="0033382D" w14:paraId="4D57427D" w14:textId="77777777" w:rsidTr="0033382D">
        <w:trPr>
          <w:trHeight w:val="300"/>
          <w:jc w:val="center"/>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6C031216" w14:textId="77777777" w:rsidR="0033382D" w:rsidRPr="0033382D" w:rsidRDefault="0033382D" w:rsidP="0033382D">
            <w:pPr>
              <w:spacing w:after="0"/>
              <w:rPr>
                <w:rFonts w:ascii="Calibri" w:hAnsi="Calibri" w:cs="Calibri"/>
                <w:color w:val="000000"/>
                <w:sz w:val="22"/>
                <w:szCs w:val="22"/>
                <w:lang w:val="en-US"/>
              </w:rPr>
            </w:pPr>
            <w:r w:rsidRPr="0033382D">
              <w:rPr>
                <w:rFonts w:ascii="Calibri" w:hAnsi="Calibri" w:cs="Calibri"/>
                <w:color w:val="000000"/>
                <w:sz w:val="22"/>
                <w:szCs w:val="22"/>
                <w:lang w:val="en-US"/>
              </w:rPr>
              <w:t>UL bitmap</w:t>
            </w:r>
          </w:p>
        </w:tc>
        <w:tc>
          <w:tcPr>
            <w:tcW w:w="420" w:type="dxa"/>
            <w:tcBorders>
              <w:top w:val="nil"/>
              <w:left w:val="nil"/>
              <w:bottom w:val="single" w:sz="4" w:space="0" w:color="auto"/>
              <w:right w:val="single" w:sz="4" w:space="0" w:color="auto"/>
            </w:tcBorders>
            <w:shd w:val="clear" w:color="auto" w:fill="auto"/>
            <w:noWrap/>
            <w:vAlign w:val="bottom"/>
            <w:hideMark/>
          </w:tcPr>
          <w:p w14:paraId="4CD9C842" w14:textId="77777777" w:rsidR="0033382D" w:rsidRPr="0033382D" w:rsidRDefault="0033382D" w:rsidP="0033382D">
            <w:pPr>
              <w:spacing w:after="0"/>
              <w:rPr>
                <w:rFonts w:ascii="Calibri" w:hAnsi="Calibri" w:cs="Calibri"/>
                <w:color w:val="000000"/>
                <w:sz w:val="22"/>
                <w:szCs w:val="22"/>
                <w:lang w:val="en-US"/>
              </w:rPr>
            </w:pPr>
            <w:r w:rsidRPr="0033382D">
              <w:rPr>
                <w:rFonts w:ascii="Calibri" w:hAnsi="Calibri" w:cs="Calibri"/>
                <w:color w:val="000000"/>
                <w:sz w:val="22"/>
                <w:szCs w:val="22"/>
                <w:lang w:val="en-US"/>
              </w:rPr>
              <w:t> </w:t>
            </w:r>
          </w:p>
        </w:tc>
        <w:tc>
          <w:tcPr>
            <w:tcW w:w="420" w:type="dxa"/>
            <w:tcBorders>
              <w:top w:val="nil"/>
              <w:left w:val="nil"/>
              <w:bottom w:val="single" w:sz="4" w:space="0" w:color="auto"/>
              <w:right w:val="single" w:sz="4" w:space="0" w:color="auto"/>
            </w:tcBorders>
            <w:shd w:val="clear" w:color="auto" w:fill="auto"/>
            <w:noWrap/>
            <w:vAlign w:val="bottom"/>
            <w:hideMark/>
          </w:tcPr>
          <w:p w14:paraId="59E465F7" w14:textId="77777777" w:rsidR="0033382D" w:rsidRPr="0033382D" w:rsidRDefault="0033382D" w:rsidP="0033382D">
            <w:pPr>
              <w:spacing w:after="0"/>
              <w:rPr>
                <w:rFonts w:ascii="Calibri" w:hAnsi="Calibri" w:cs="Calibri"/>
                <w:color w:val="000000"/>
                <w:sz w:val="22"/>
                <w:szCs w:val="22"/>
                <w:lang w:val="en-US"/>
              </w:rPr>
            </w:pPr>
            <w:r w:rsidRPr="0033382D">
              <w:rPr>
                <w:rFonts w:ascii="Calibri" w:hAnsi="Calibri" w:cs="Calibri"/>
                <w:color w:val="000000"/>
                <w:sz w:val="22"/>
                <w:szCs w:val="22"/>
                <w:lang w:val="en-US"/>
              </w:rPr>
              <w:t> </w:t>
            </w:r>
          </w:p>
        </w:tc>
        <w:tc>
          <w:tcPr>
            <w:tcW w:w="420" w:type="dxa"/>
            <w:tcBorders>
              <w:top w:val="nil"/>
              <w:left w:val="nil"/>
              <w:bottom w:val="single" w:sz="4" w:space="0" w:color="auto"/>
              <w:right w:val="single" w:sz="4" w:space="0" w:color="auto"/>
            </w:tcBorders>
            <w:shd w:val="clear" w:color="auto" w:fill="auto"/>
            <w:noWrap/>
            <w:vAlign w:val="bottom"/>
            <w:hideMark/>
          </w:tcPr>
          <w:p w14:paraId="2A289457" w14:textId="77777777" w:rsidR="0033382D" w:rsidRPr="0033382D" w:rsidRDefault="0033382D" w:rsidP="0033382D">
            <w:pPr>
              <w:spacing w:after="0"/>
              <w:rPr>
                <w:rFonts w:ascii="Calibri" w:hAnsi="Calibri" w:cs="Calibri"/>
                <w:color w:val="000000"/>
                <w:sz w:val="22"/>
                <w:szCs w:val="22"/>
                <w:lang w:val="en-US"/>
              </w:rPr>
            </w:pPr>
            <w:r w:rsidRPr="0033382D">
              <w:rPr>
                <w:rFonts w:ascii="Calibri" w:hAnsi="Calibri" w:cs="Calibri"/>
                <w:color w:val="000000"/>
                <w:sz w:val="22"/>
                <w:szCs w:val="22"/>
                <w:lang w:val="en-US"/>
              </w:rPr>
              <w:t> </w:t>
            </w:r>
          </w:p>
        </w:tc>
        <w:tc>
          <w:tcPr>
            <w:tcW w:w="420" w:type="dxa"/>
            <w:tcBorders>
              <w:top w:val="nil"/>
              <w:left w:val="nil"/>
              <w:bottom w:val="single" w:sz="4" w:space="0" w:color="auto"/>
              <w:right w:val="single" w:sz="4" w:space="0" w:color="auto"/>
            </w:tcBorders>
            <w:shd w:val="clear" w:color="auto" w:fill="auto"/>
            <w:noWrap/>
            <w:vAlign w:val="bottom"/>
            <w:hideMark/>
          </w:tcPr>
          <w:p w14:paraId="71CF9EC0" w14:textId="77777777" w:rsidR="0033382D" w:rsidRPr="0033382D" w:rsidRDefault="0033382D" w:rsidP="0033382D">
            <w:pPr>
              <w:spacing w:after="0"/>
              <w:rPr>
                <w:rFonts w:ascii="Calibri" w:hAnsi="Calibri" w:cs="Calibri"/>
                <w:color w:val="000000"/>
                <w:sz w:val="22"/>
                <w:szCs w:val="22"/>
                <w:lang w:val="en-US"/>
              </w:rPr>
            </w:pPr>
            <w:r w:rsidRPr="0033382D">
              <w:rPr>
                <w:rFonts w:ascii="Calibri" w:hAnsi="Calibri" w:cs="Calibri"/>
                <w:color w:val="000000"/>
                <w:sz w:val="22"/>
                <w:szCs w:val="22"/>
                <w:lang w:val="en-US"/>
              </w:rPr>
              <w:t> </w:t>
            </w:r>
          </w:p>
        </w:tc>
        <w:tc>
          <w:tcPr>
            <w:tcW w:w="420" w:type="dxa"/>
            <w:tcBorders>
              <w:top w:val="nil"/>
              <w:left w:val="nil"/>
              <w:bottom w:val="single" w:sz="4" w:space="0" w:color="auto"/>
              <w:right w:val="single" w:sz="4" w:space="0" w:color="auto"/>
            </w:tcBorders>
            <w:shd w:val="clear" w:color="000000" w:fill="4472C4"/>
            <w:noWrap/>
            <w:vAlign w:val="bottom"/>
            <w:hideMark/>
          </w:tcPr>
          <w:p w14:paraId="450A2116" w14:textId="77777777" w:rsidR="0033382D" w:rsidRPr="0033382D" w:rsidRDefault="0033382D" w:rsidP="0033382D">
            <w:pPr>
              <w:spacing w:after="0"/>
              <w:rPr>
                <w:rFonts w:ascii="Calibri" w:hAnsi="Calibri" w:cs="Calibri"/>
                <w:color w:val="000000"/>
                <w:sz w:val="22"/>
                <w:szCs w:val="22"/>
                <w:lang w:val="en-US"/>
              </w:rPr>
            </w:pPr>
            <w:r w:rsidRPr="0033382D">
              <w:rPr>
                <w:rFonts w:ascii="Calibri" w:hAnsi="Calibri" w:cs="Calibri"/>
                <w:color w:val="000000"/>
                <w:sz w:val="22"/>
                <w:szCs w:val="22"/>
                <w:lang w:val="en-US"/>
              </w:rPr>
              <w:t> </w:t>
            </w:r>
          </w:p>
        </w:tc>
        <w:tc>
          <w:tcPr>
            <w:tcW w:w="420" w:type="dxa"/>
            <w:tcBorders>
              <w:top w:val="nil"/>
              <w:left w:val="nil"/>
              <w:bottom w:val="single" w:sz="4" w:space="0" w:color="auto"/>
              <w:right w:val="single" w:sz="4" w:space="0" w:color="auto"/>
            </w:tcBorders>
            <w:shd w:val="clear" w:color="auto" w:fill="auto"/>
            <w:noWrap/>
            <w:vAlign w:val="bottom"/>
            <w:hideMark/>
          </w:tcPr>
          <w:p w14:paraId="30A43437" w14:textId="46038152" w:rsidR="0033382D" w:rsidRPr="0033382D" w:rsidRDefault="00137D1E" w:rsidP="0033382D">
            <w:pPr>
              <w:spacing w:after="0"/>
              <w:rPr>
                <w:rFonts w:ascii="Calibri" w:hAnsi="Calibri" w:cs="Calibri"/>
                <w:b/>
                <w:bCs/>
                <w:color w:val="000000"/>
                <w:sz w:val="22"/>
                <w:szCs w:val="22"/>
                <w:lang w:val="en-US"/>
              </w:rPr>
            </w:pPr>
            <w:r w:rsidRPr="00137D1E">
              <w:rPr>
                <w:rFonts w:ascii="Calibri" w:hAnsi="Calibri" w:cs="Calibri"/>
                <w:b/>
                <w:bCs/>
                <w:color w:val="FF0000"/>
                <w:sz w:val="22"/>
                <w:szCs w:val="22"/>
                <w:lang w:val="en-US"/>
              </w:rPr>
              <w:t>C</w:t>
            </w:r>
            <w:r w:rsidR="0033382D" w:rsidRPr="0033382D">
              <w:rPr>
                <w:rFonts w:ascii="Calibri" w:hAnsi="Calibri" w:cs="Calibri"/>
                <w:b/>
                <w:bCs/>
                <w:color w:val="000000"/>
                <w:sz w:val="22"/>
                <w:szCs w:val="22"/>
                <w:lang w:val="en-US"/>
              </w:rPr>
              <w:t> </w:t>
            </w:r>
          </w:p>
        </w:tc>
        <w:tc>
          <w:tcPr>
            <w:tcW w:w="420" w:type="dxa"/>
            <w:tcBorders>
              <w:top w:val="nil"/>
              <w:left w:val="nil"/>
              <w:bottom w:val="single" w:sz="4" w:space="0" w:color="auto"/>
              <w:right w:val="single" w:sz="4" w:space="0" w:color="auto"/>
            </w:tcBorders>
            <w:shd w:val="clear" w:color="000000" w:fill="4472C4"/>
            <w:noWrap/>
            <w:vAlign w:val="bottom"/>
            <w:hideMark/>
          </w:tcPr>
          <w:p w14:paraId="2673F90D" w14:textId="77777777" w:rsidR="0033382D" w:rsidRPr="0033382D" w:rsidRDefault="0033382D" w:rsidP="0033382D">
            <w:pPr>
              <w:spacing w:after="0"/>
              <w:rPr>
                <w:rFonts w:ascii="Calibri" w:hAnsi="Calibri" w:cs="Calibri"/>
                <w:color w:val="000000"/>
                <w:sz w:val="22"/>
                <w:szCs w:val="22"/>
                <w:lang w:val="en-US"/>
              </w:rPr>
            </w:pPr>
            <w:r w:rsidRPr="0033382D">
              <w:rPr>
                <w:rFonts w:ascii="Calibri" w:hAnsi="Calibri" w:cs="Calibri"/>
                <w:color w:val="000000"/>
                <w:sz w:val="22"/>
                <w:szCs w:val="22"/>
                <w:lang w:val="en-US"/>
              </w:rPr>
              <w:t> </w:t>
            </w:r>
          </w:p>
        </w:tc>
        <w:tc>
          <w:tcPr>
            <w:tcW w:w="420" w:type="dxa"/>
            <w:tcBorders>
              <w:top w:val="nil"/>
              <w:left w:val="nil"/>
              <w:bottom w:val="single" w:sz="4" w:space="0" w:color="auto"/>
              <w:right w:val="single" w:sz="4" w:space="0" w:color="auto"/>
            </w:tcBorders>
            <w:shd w:val="clear" w:color="auto" w:fill="auto"/>
            <w:noWrap/>
            <w:vAlign w:val="bottom"/>
            <w:hideMark/>
          </w:tcPr>
          <w:p w14:paraId="4A261DBF" w14:textId="0F850B0C" w:rsidR="0033382D" w:rsidRPr="0033382D" w:rsidRDefault="0033382D" w:rsidP="0033382D">
            <w:pPr>
              <w:spacing w:after="0"/>
              <w:rPr>
                <w:rFonts w:ascii="Calibri" w:hAnsi="Calibri" w:cs="Calibri"/>
                <w:b/>
                <w:bCs/>
                <w:color w:val="FF0000"/>
                <w:sz w:val="22"/>
                <w:szCs w:val="22"/>
                <w:lang w:val="en-US"/>
              </w:rPr>
            </w:pPr>
          </w:p>
        </w:tc>
        <w:tc>
          <w:tcPr>
            <w:tcW w:w="420" w:type="dxa"/>
            <w:tcBorders>
              <w:top w:val="nil"/>
              <w:left w:val="nil"/>
              <w:bottom w:val="single" w:sz="4" w:space="0" w:color="auto"/>
              <w:right w:val="single" w:sz="4" w:space="0" w:color="auto"/>
            </w:tcBorders>
            <w:shd w:val="clear" w:color="auto" w:fill="auto"/>
            <w:noWrap/>
            <w:vAlign w:val="bottom"/>
            <w:hideMark/>
          </w:tcPr>
          <w:p w14:paraId="335000CE" w14:textId="77777777" w:rsidR="0033382D" w:rsidRPr="0033382D" w:rsidRDefault="0033382D" w:rsidP="0033382D">
            <w:pPr>
              <w:spacing w:after="0"/>
              <w:rPr>
                <w:rFonts w:ascii="Calibri" w:hAnsi="Calibri" w:cs="Calibri"/>
                <w:color w:val="000000"/>
                <w:sz w:val="22"/>
                <w:szCs w:val="22"/>
                <w:lang w:val="en-US"/>
              </w:rPr>
            </w:pPr>
            <w:r w:rsidRPr="0033382D">
              <w:rPr>
                <w:rFonts w:ascii="Calibri" w:hAnsi="Calibri" w:cs="Calibri"/>
                <w:color w:val="000000"/>
                <w:sz w:val="22"/>
                <w:szCs w:val="22"/>
                <w:lang w:val="en-US"/>
              </w:rPr>
              <w:t> </w:t>
            </w:r>
          </w:p>
        </w:tc>
        <w:tc>
          <w:tcPr>
            <w:tcW w:w="420" w:type="dxa"/>
            <w:tcBorders>
              <w:top w:val="nil"/>
              <w:left w:val="nil"/>
              <w:bottom w:val="single" w:sz="4" w:space="0" w:color="auto"/>
              <w:right w:val="single" w:sz="4" w:space="0" w:color="auto"/>
            </w:tcBorders>
            <w:shd w:val="clear" w:color="auto" w:fill="auto"/>
            <w:noWrap/>
            <w:vAlign w:val="bottom"/>
            <w:hideMark/>
          </w:tcPr>
          <w:p w14:paraId="1F3B9F34" w14:textId="77777777" w:rsidR="0033382D" w:rsidRPr="0033382D" w:rsidRDefault="0033382D" w:rsidP="0033382D">
            <w:pPr>
              <w:spacing w:after="0"/>
              <w:rPr>
                <w:rFonts w:ascii="Calibri" w:hAnsi="Calibri" w:cs="Calibri"/>
                <w:color w:val="000000"/>
                <w:sz w:val="22"/>
                <w:szCs w:val="22"/>
                <w:lang w:val="en-US"/>
              </w:rPr>
            </w:pPr>
            <w:r w:rsidRPr="0033382D">
              <w:rPr>
                <w:rFonts w:ascii="Calibri" w:hAnsi="Calibri" w:cs="Calibri"/>
                <w:color w:val="000000"/>
                <w:sz w:val="22"/>
                <w:szCs w:val="22"/>
                <w:lang w:val="en-US"/>
              </w:rPr>
              <w:t> </w:t>
            </w:r>
          </w:p>
        </w:tc>
      </w:tr>
    </w:tbl>
    <w:p w14:paraId="0E05D788" w14:textId="1B4AB977" w:rsidR="00137D1E" w:rsidRDefault="00137D1E" w:rsidP="00137D1E">
      <w:pPr>
        <w:pStyle w:val="Heading2"/>
        <w:rPr>
          <w:lang w:val="en-US"/>
        </w:rPr>
      </w:pPr>
      <w:r>
        <w:rPr>
          <w:lang w:val="en-US"/>
        </w:rPr>
        <w:t>Alt 1.3</w:t>
      </w:r>
    </w:p>
    <w:p w14:paraId="3643F2E1" w14:textId="43218FBF" w:rsidR="0033382D" w:rsidRPr="00D865DC" w:rsidRDefault="0033382D" w:rsidP="0033382D">
      <w:pPr>
        <w:pStyle w:val="ListParagraph"/>
        <w:rPr>
          <w:lang w:val="en-US"/>
        </w:rPr>
      </w:pPr>
    </w:p>
    <w:p w14:paraId="2ABF06D1" w14:textId="77777777" w:rsidR="00137D1E" w:rsidRDefault="00137D1E" w:rsidP="00D15203">
      <w:pPr>
        <w:rPr>
          <w:lang w:val="en-US"/>
        </w:rPr>
      </w:pPr>
      <w:r>
        <w:rPr>
          <w:lang w:val="en-US"/>
        </w:rPr>
        <w:t xml:space="preserve">The main advantage of Alt 1.3 is the </w:t>
      </w:r>
      <w:r w:rsidRPr="005A1A79">
        <w:rPr>
          <w:b/>
          <w:bCs/>
          <w:lang w:val="en-US"/>
        </w:rPr>
        <w:t>simplicity and the flexibility</w:t>
      </w:r>
      <w:r>
        <w:rPr>
          <w:lang w:val="en-US"/>
        </w:rPr>
        <w:t xml:space="preserve"> it may allow depending on the number of bits used for HARQ-ACK delay field.</w:t>
      </w:r>
    </w:p>
    <w:p w14:paraId="13A388B0" w14:textId="0F441EA9" w:rsidR="00137D1E" w:rsidRDefault="00137D1E" w:rsidP="00D15203">
      <w:pPr>
        <w:rPr>
          <w:lang w:val="en-US"/>
        </w:rPr>
      </w:pPr>
      <w:r>
        <w:rPr>
          <w:lang w:val="en-US"/>
        </w:rPr>
        <w:t>For the case where all subframes are valid</w:t>
      </w:r>
      <w:r w:rsidRPr="005A1A79">
        <w:rPr>
          <w:lang w:val="en-US"/>
        </w:rPr>
        <w:t>,</w:t>
      </w:r>
      <w:r w:rsidRPr="005A1A79">
        <w:rPr>
          <w:b/>
          <w:bCs/>
          <w:lang w:val="en-US"/>
        </w:rPr>
        <w:t xml:space="preserve"> 3 bits</w:t>
      </w:r>
      <w:r>
        <w:rPr>
          <w:lang w:val="en-US"/>
        </w:rPr>
        <w:t xml:space="preserve"> are sufficient to achieve peak data rate (same as in legacy). The maximum delay that is needed is a delay of 13 subframes:</w:t>
      </w:r>
    </w:p>
    <w:p w14:paraId="6ABA9BC2" w14:textId="77777777" w:rsidR="00137D1E" w:rsidRDefault="00137D1E" w:rsidP="00137D1E">
      <w:pPr>
        <w:keepNext/>
        <w:jc w:val="center"/>
      </w:pPr>
      <w:r>
        <w:object w:dxaOrig="6186" w:dyaOrig="2586" w14:anchorId="4402CA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pt;height:155pt" o:ole="">
            <v:imagedata r:id="rId12" o:title=""/>
          </v:shape>
          <o:OLEObject Type="Embed" ProgID="Visio.Drawing.11" ShapeID="_x0000_i1025" DrawAspect="Content" ObjectID="_1682278349" r:id="rId13"/>
        </w:object>
      </w:r>
    </w:p>
    <w:p w14:paraId="4358E2D4" w14:textId="223E0AFC" w:rsidR="00137D1E" w:rsidRDefault="00137D1E" w:rsidP="00137D1E">
      <w:pPr>
        <w:pStyle w:val="Caption"/>
        <w:jc w:val="center"/>
      </w:pPr>
      <w:r>
        <w:t xml:space="preserve">Figure </w:t>
      </w:r>
      <w:r w:rsidR="009330C9">
        <w:fldChar w:fldCharType="begin"/>
      </w:r>
      <w:r w:rsidR="009330C9">
        <w:instrText xml:space="preserve"> SEQ Figure \* ARABIC </w:instrText>
      </w:r>
      <w:r w:rsidR="009330C9">
        <w:fldChar w:fldCharType="separate"/>
      </w:r>
      <w:r>
        <w:rPr>
          <w:noProof/>
        </w:rPr>
        <w:t>1</w:t>
      </w:r>
      <w:r w:rsidR="009330C9">
        <w:rPr>
          <w:noProof/>
        </w:rPr>
        <w:fldChar w:fldCharType="end"/>
      </w:r>
      <w:r>
        <w:t xml:space="preserve"> Scheduling delays for the case of no invalid subframes (legacy HARQ-ACK delay).</w:t>
      </w:r>
    </w:p>
    <w:p w14:paraId="4138210A" w14:textId="21585F04" w:rsidR="00137D1E" w:rsidRDefault="00137D1E" w:rsidP="00137D1E">
      <w:pPr>
        <w:rPr>
          <w:lang w:val="en-US"/>
        </w:rPr>
      </w:pPr>
    </w:p>
    <w:p w14:paraId="5641E2E2" w14:textId="0EC9B5A2" w:rsidR="00137D1E" w:rsidRDefault="00137D1E" w:rsidP="00137D1E">
      <w:pPr>
        <w:rPr>
          <w:lang w:val="en-US"/>
        </w:rPr>
      </w:pPr>
      <w:r>
        <w:rPr>
          <w:lang w:val="en-US"/>
        </w:rPr>
        <w:t xml:space="preserve">For the case where some invalid subframes are present, the HARQ-ACK delay range needs to be increased. However, for any reasonable number of invalid subframes, the same overhead as alt 1.2 will give enough flexibility to handle this case and, additionally, offer the possibility to fall back to legacy scheduling. For example, by using </w:t>
      </w:r>
      <w:r w:rsidRPr="005A1A79">
        <w:rPr>
          <w:b/>
          <w:bCs/>
          <w:lang w:val="en-US"/>
        </w:rPr>
        <w:t>5 bits</w:t>
      </w:r>
      <w:r>
        <w:rPr>
          <w:lang w:val="en-US"/>
        </w:rPr>
        <w:t>, we can signal all possible HARQ-ACK delays between</w:t>
      </w:r>
      <w:r w:rsidR="005A1A79">
        <w:rPr>
          <w:lang w:val="en-US"/>
        </w:rPr>
        <w:t xml:space="preserve"> 4 and 3</w:t>
      </w:r>
      <w:r w:rsidR="000E771D">
        <w:rPr>
          <w:lang w:val="en-US"/>
        </w:rPr>
        <w:t>5</w:t>
      </w:r>
      <w:r w:rsidR="005A1A79">
        <w:rPr>
          <w:lang w:val="en-US"/>
        </w:rPr>
        <w:t>. If this value is not enough it would mean that there are more than 3</w:t>
      </w:r>
      <w:r w:rsidR="000E771D">
        <w:rPr>
          <w:lang w:val="en-US"/>
        </w:rPr>
        <w:t>5</w:t>
      </w:r>
      <w:r w:rsidR="005A1A79">
        <w:rPr>
          <w:lang w:val="en-US"/>
        </w:rPr>
        <w:t>-13=2</w:t>
      </w:r>
      <w:r w:rsidR="000E771D">
        <w:rPr>
          <w:lang w:val="en-US"/>
        </w:rPr>
        <w:t>2</w:t>
      </w:r>
      <w:r w:rsidR="005A1A79">
        <w:rPr>
          <w:lang w:val="en-US"/>
        </w:rPr>
        <w:t xml:space="preserve"> invalid subframes in a 3</w:t>
      </w:r>
      <w:r w:rsidR="000E771D">
        <w:rPr>
          <w:lang w:val="en-US"/>
        </w:rPr>
        <w:t>5</w:t>
      </w:r>
      <w:r w:rsidR="005A1A79">
        <w:rPr>
          <w:lang w:val="en-US"/>
        </w:rPr>
        <w:t xml:space="preserve">ms period, which is highly unlikely (this would lead to </w:t>
      </w:r>
      <w:r w:rsidR="000E771D">
        <w:rPr>
          <w:lang w:val="en-US"/>
        </w:rPr>
        <w:t>~</w:t>
      </w:r>
      <w:r w:rsidR="005A1A79">
        <w:rPr>
          <w:lang w:val="en-US"/>
        </w:rPr>
        <w:t xml:space="preserve">63% of invalid subframes, counting both uplink and downlink). </w:t>
      </w:r>
    </w:p>
    <w:p w14:paraId="2AF3B1DF" w14:textId="6E2B50DA" w:rsidR="005A1A79" w:rsidRPr="005A1A79" w:rsidRDefault="005A1A79" w:rsidP="00137D1E">
      <w:pPr>
        <w:rPr>
          <w:lang w:val="en-US"/>
        </w:rPr>
      </w:pPr>
      <w:r>
        <w:rPr>
          <w:lang w:val="en-US"/>
        </w:rPr>
        <w:t xml:space="preserve">For the case of </w:t>
      </w:r>
      <w:r w:rsidRPr="005A1A79">
        <w:rPr>
          <w:b/>
          <w:bCs/>
          <w:lang w:val="en-US"/>
        </w:rPr>
        <w:t>4 bits</w:t>
      </w:r>
      <w:r>
        <w:rPr>
          <w:b/>
          <w:bCs/>
          <w:lang w:val="en-US"/>
        </w:rPr>
        <w:t>,</w:t>
      </w:r>
      <w:r>
        <w:rPr>
          <w:lang w:val="en-US"/>
        </w:rPr>
        <w:t xml:space="preserve"> we are able to signal all the HARQ-ACK delays between 4 and </w:t>
      </w:r>
      <w:r w:rsidR="000E771D">
        <w:rPr>
          <w:lang w:val="en-US"/>
        </w:rPr>
        <w:t>19</w:t>
      </w:r>
      <w:r>
        <w:rPr>
          <w:lang w:val="en-US"/>
        </w:rPr>
        <w:t xml:space="preserve">. This case is able to operate when there are less than </w:t>
      </w:r>
      <w:r w:rsidR="000E771D">
        <w:rPr>
          <w:lang w:val="en-US"/>
        </w:rPr>
        <w:t>19</w:t>
      </w:r>
      <w:r>
        <w:rPr>
          <w:lang w:val="en-US"/>
        </w:rPr>
        <w:t xml:space="preserve">-13 = </w:t>
      </w:r>
      <w:r w:rsidR="000E771D">
        <w:rPr>
          <w:lang w:val="en-US"/>
        </w:rPr>
        <w:t>6</w:t>
      </w:r>
      <w:r>
        <w:rPr>
          <w:lang w:val="en-US"/>
        </w:rPr>
        <w:t xml:space="preserve"> invalid subframes in a 20ms period (</w:t>
      </w:r>
      <w:r w:rsidR="000E771D">
        <w:rPr>
          <w:lang w:val="en-US"/>
        </w:rPr>
        <w:t>~</w:t>
      </w:r>
      <w:r>
        <w:rPr>
          <w:lang w:val="en-US"/>
        </w:rPr>
        <w:t>3</w:t>
      </w:r>
      <w:r w:rsidR="000E771D">
        <w:rPr>
          <w:lang w:val="en-US"/>
        </w:rPr>
        <w:t>2</w:t>
      </w:r>
      <w:r>
        <w:rPr>
          <w:lang w:val="en-US"/>
        </w:rPr>
        <w:t>%).</w:t>
      </w:r>
    </w:p>
    <w:p w14:paraId="791C388E" w14:textId="630AA688" w:rsidR="00D15203" w:rsidRDefault="00D15203" w:rsidP="00D15203">
      <w:pPr>
        <w:rPr>
          <w:lang w:val="en-US"/>
        </w:rPr>
      </w:pPr>
    </w:p>
    <w:p w14:paraId="2AA3AC63" w14:textId="77777777" w:rsidR="005A1A79" w:rsidRDefault="005A1A79" w:rsidP="00D15203">
      <w:pPr>
        <w:rPr>
          <w:lang w:val="en-US"/>
        </w:rPr>
      </w:pPr>
    </w:p>
    <w:p w14:paraId="572908D4" w14:textId="6BBA4C9B" w:rsidR="00D15203" w:rsidRDefault="005A1A79" w:rsidP="00D15203">
      <w:pPr>
        <w:rPr>
          <w:lang w:val="en-US"/>
        </w:rPr>
      </w:pPr>
      <w:r>
        <w:rPr>
          <w:lang w:val="en-US"/>
        </w:rPr>
        <w:t>In the following table we summarize the pros and cons of the different alternatives.</w:t>
      </w:r>
    </w:p>
    <w:p w14:paraId="7CCE63E4" w14:textId="14DB2987" w:rsidR="00D15203" w:rsidRDefault="00D15203" w:rsidP="00D15203">
      <w:pPr>
        <w:rPr>
          <w:lang w:val="en-US"/>
        </w:rPr>
      </w:pPr>
    </w:p>
    <w:tbl>
      <w:tblPr>
        <w:tblStyle w:val="GridTable5Dark-Accent5"/>
        <w:tblW w:w="0" w:type="auto"/>
        <w:tblLook w:val="04A0" w:firstRow="1" w:lastRow="0" w:firstColumn="1" w:lastColumn="0" w:noHBand="0" w:noVBand="1"/>
      </w:tblPr>
      <w:tblGrid>
        <w:gridCol w:w="1345"/>
        <w:gridCol w:w="2610"/>
        <w:gridCol w:w="2430"/>
        <w:gridCol w:w="3244"/>
      </w:tblGrid>
      <w:tr w:rsidR="00D15203" w14:paraId="0AC8B7F4" w14:textId="77777777" w:rsidTr="00D152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tcPr>
          <w:p w14:paraId="672DF6A7" w14:textId="77777777" w:rsidR="00D15203" w:rsidRDefault="00D15203" w:rsidP="00D15203">
            <w:pPr>
              <w:rPr>
                <w:lang w:val="en-US"/>
              </w:rPr>
            </w:pPr>
          </w:p>
        </w:tc>
        <w:tc>
          <w:tcPr>
            <w:tcW w:w="2610" w:type="dxa"/>
          </w:tcPr>
          <w:p w14:paraId="695C58B1" w14:textId="2BEFD1AE" w:rsidR="00D15203" w:rsidRDefault="00D15203" w:rsidP="00D15203">
            <w:pPr>
              <w:cnfStyle w:val="100000000000" w:firstRow="1" w:lastRow="0" w:firstColumn="0" w:lastColumn="0" w:oddVBand="0" w:evenVBand="0" w:oddHBand="0" w:evenHBand="0" w:firstRowFirstColumn="0" w:firstRowLastColumn="0" w:lastRowFirstColumn="0" w:lastRowLastColumn="0"/>
              <w:rPr>
                <w:lang w:val="en-US"/>
              </w:rPr>
            </w:pPr>
            <w:r>
              <w:rPr>
                <w:lang w:val="en-US"/>
              </w:rPr>
              <w:t>Alt 1.1</w:t>
            </w:r>
          </w:p>
        </w:tc>
        <w:tc>
          <w:tcPr>
            <w:tcW w:w="2430" w:type="dxa"/>
          </w:tcPr>
          <w:p w14:paraId="16C375BD" w14:textId="3E58F9F7" w:rsidR="00D15203" w:rsidRDefault="00D15203" w:rsidP="00D15203">
            <w:pPr>
              <w:cnfStyle w:val="100000000000" w:firstRow="1" w:lastRow="0" w:firstColumn="0" w:lastColumn="0" w:oddVBand="0" w:evenVBand="0" w:oddHBand="0" w:evenHBand="0" w:firstRowFirstColumn="0" w:firstRowLastColumn="0" w:lastRowFirstColumn="0" w:lastRowLastColumn="0"/>
              <w:rPr>
                <w:lang w:val="en-US"/>
              </w:rPr>
            </w:pPr>
            <w:r>
              <w:rPr>
                <w:lang w:val="en-US"/>
              </w:rPr>
              <w:t>Alt 1.2</w:t>
            </w:r>
          </w:p>
        </w:tc>
        <w:tc>
          <w:tcPr>
            <w:tcW w:w="3244" w:type="dxa"/>
          </w:tcPr>
          <w:p w14:paraId="63889BAA" w14:textId="567573A8" w:rsidR="00D15203" w:rsidRDefault="00D15203" w:rsidP="00D15203">
            <w:pPr>
              <w:cnfStyle w:val="100000000000" w:firstRow="1" w:lastRow="0" w:firstColumn="0" w:lastColumn="0" w:oddVBand="0" w:evenVBand="0" w:oddHBand="0" w:evenHBand="0" w:firstRowFirstColumn="0" w:firstRowLastColumn="0" w:lastRowFirstColumn="0" w:lastRowLastColumn="0"/>
              <w:rPr>
                <w:lang w:val="en-US"/>
              </w:rPr>
            </w:pPr>
            <w:r>
              <w:rPr>
                <w:lang w:val="en-US"/>
              </w:rPr>
              <w:t>Alt 2</w:t>
            </w:r>
          </w:p>
        </w:tc>
      </w:tr>
      <w:tr w:rsidR="00D15203" w14:paraId="275C34DB" w14:textId="77777777" w:rsidTr="00D152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tcPr>
          <w:p w14:paraId="5145D465" w14:textId="76AA8A12" w:rsidR="00D15203" w:rsidRDefault="00D15203" w:rsidP="00D15203">
            <w:pPr>
              <w:rPr>
                <w:lang w:val="en-US"/>
              </w:rPr>
            </w:pPr>
            <w:r>
              <w:rPr>
                <w:lang w:val="en-US"/>
              </w:rPr>
              <w:t>DCI overhead</w:t>
            </w:r>
          </w:p>
        </w:tc>
        <w:tc>
          <w:tcPr>
            <w:tcW w:w="2610" w:type="dxa"/>
          </w:tcPr>
          <w:p w14:paraId="7EF20ED7" w14:textId="74F0BC12" w:rsidR="00D15203" w:rsidRDefault="00D15203" w:rsidP="00D15203">
            <w:pPr>
              <w:cnfStyle w:val="000000100000" w:firstRow="0" w:lastRow="0" w:firstColumn="0" w:lastColumn="0" w:oddVBand="0" w:evenVBand="0" w:oddHBand="1" w:evenHBand="0" w:firstRowFirstColumn="0" w:firstRowLastColumn="0" w:lastRowFirstColumn="0" w:lastRowLastColumn="0"/>
              <w:rPr>
                <w:lang w:val="en-US"/>
              </w:rPr>
            </w:pPr>
            <w:r>
              <w:rPr>
                <w:lang w:val="en-US"/>
              </w:rPr>
              <w:t>2 bits</w:t>
            </w:r>
          </w:p>
        </w:tc>
        <w:tc>
          <w:tcPr>
            <w:tcW w:w="2430" w:type="dxa"/>
          </w:tcPr>
          <w:p w14:paraId="27303A61" w14:textId="56B162B7" w:rsidR="00D15203" w:rsidRDefault="00D865DC" w:rsidP="00D15203">
            <w:pPr>
              <w:cnfStyle w:val="000000100000" w:firstRow="0" w:lastRow="0" w:firstColumn="0" w:lastColumn="0" w:oddVBand="0" w:evenVBand="0" w:oddHBand="1" w:evenHBand="0" w:firstRowFirstColumn="0" w:firstRowLastColumn="0" w:lastRowFirstColumn="0" w:lastRowLastColumn="0"/>
              <w:rPr>
                <w:lang w:val="en-US"/>
              </w:rPr>
            </w:pPr>
            <w:r>
              <w:rPr>
                <w:lang w:val="en-US"/>
              </w:rPr>
              <w:t>5</w:t>
            </w:r>
            <w:r w:rsidR="00D15203">
              <w:rPr>
                <w:lang w:val="en-US"/>
              </w:rPr>
              <w:t xml:space="preserve"> bits</w:t>
            </w:r>
            <w:r w:rsidR="00FF4F92">
              <w:rPr>
                <w:lang w:val="en-US"/>
              </w:rPr>
              <w:t xml:space="preserve"> (30 codepoints)</w:t>
            </w:r>
          </w:p>
        </w:tc>
        <w:tc>
          <w:tcPr>
            <w:tcW w:w="3244" w:type="dxa"/>
          </w:tcPr>
          <w:p w14:paraId="5BE796E0" w14:textId="77777777" w:rsidR="005A1A79" w:rsidRDefault="005A1A79" w:rsidP="00D15203">
            <w:pPr>
              <w:cnfStyle w:val="000000100000" w:firstRow="0" w:lastRow="0" w:firstColumn="0" w:lastColumn="0" w:oddVBand="0" w:evenVBand="0" w:oddHBand="1" w:evenHBand="0" w:firstRowFirstColumn="0" w:firstRowLastColumn="0" w:lastRowFirstColumn="0" w:lastRowLastColumn="0"/>
              <w:rPr>
                <w:lang w:val="en-US"/>
              </w:rPr>
            </w:pPr>
            <w:r>
              <w:rPr>
                <w:lang w:val="en-US"/>
              </w:rPr>
              <w:t>3 bits can handle the case of no/small number of invalid subframes.</w:t>
            </w:r>
          </w:p>
          <w:p w14:paraId="003C60DA" w14:textId="24A878B4" w:rsidR="005A1A79" w:rsidRDefault="00FF4F92" w:rsidP="00D15203">
            <w:pPr>
              <w:cnfStyle w:val="000000100000" w:firstRow="0" w:lastRow="0" w:firstColumn="0" w:lastColumn="0" w:oddVBand="0" w:evenVBand="0" w:oddHBand="1" w:evenHBand="0" w:firstRowFirstColumn="0" w:firstRowLastColumn="0" w:lastRowFirstColumn="0" w:lastRowLastColumn="0"/>
              <w:rPr>
                <w:lang w:val="en-US"/>
              </w:rPr>
            </w:pPr>
            <w:r>
              <w:rPr>
                <w:lang w:val="en-US"/>
              </w:rPr>
              <w:t>4/</w:t>
            </w:r>
            <w:r w:rsidR="005A1A79">
              <w:rPr>
                <w:lang w:val="en-US"/>
              </w:rPr>
              <w:t>5 bits can handle any reasonable number of invalid subframes</w:t>
            </w:r>
            <w:r>
              <w:rPr>
                <w:lang w:val="en-US"/>
              </w:rPr>
              <w:t xml:space="preserve"> (~3</w:t>
            </w:r>
            <w:r w:rsidR="000E771D">
              <w:rPr>
                <w:lang w:val="en-US"/>
              </w:rPr>
              <w:t>2</w:t>
            </w:r>
            <w:r>
              <w:rPr>
                <w:lang w:val="en-US"/>
              </w:rPr>
              <w:t xml:space="preserve">% and </w:t>
            </w:r>
            <w:r w:rsidR="000E771D">
              <w:rPr>
                <w:lang w:val="en-US"/>
              </w:rPr>
              <w:t>~</w:t>
            </w:r>
            <w:r>
              <w:rPr>
                <w:lang w:val="en-US"/>
              </w:rPr>
              <w:t>63% for 4 and 5 bits, respectively)</w:t>
            </w:r>
            <w:r w:rsidR="005A1A79">
              <w:rPr>
                <w:lang w:val="en-US"/>
              </w:rPr>
              <w:t>.</w:t>
            </w:r>
          </w:p>
        </w:tc>
      </w:tr>
      <w:tr w:rsidR="00D15203" w14:paraId="3D98346D" w14:textId="77777777" w:rsidTr="00D15203">
        <w:tc>
          <w:tcPr>
            <w:cnfStyle w:val="001000000000" w:firstRow="0" w:lastRow="0" w:firstColumn="1" w:lastColumn="0" w:oddVBand="0" w:evenVBand="0" w:oddHBand="0" w:evenHBand="0" w:firstRowFirstColumn="0" w:firstRowLastColumn="0" w:lastRowFirstColumn="0" w:lastRowLastColumn="0"/>
            <w:tcW w:w="1345" w:type="dxa"/>
          </w:tcPr>
          <w:p w14:paraId="17648F1A" w14:textId="6C286DDC" w:rsidR="00D15203" w:rsidRDefault="00D15203" w:rsidP="00D15203">
            <w:pPr>
              <w:rPr>
                <w:lang w:val="en-US"/>
              </w:rPr>
            </w:pPr>
            <w:r>
              <w:rPr>
                <w:lang w:val="en-US"/>
              </w:rPr>
              <w:t>Scenarios that can be handled</w:t>
            </w:r>
          </w:p>
        </w:tc>
        <w:tc>
          <w:tcPr>
            <w:tcW w:w="2610" w:type="dxa"/>
          </w:tcPr>
          <w:p w14:paraId="296A7C3A" w14:textId="77777777" w:rsidR="00D15203" w:rsidRDefault="00D15203" w:rsidP="00D15203">
            <w:pPr>
              <w:cnfStyle w:val="000000000000" w:firstRow="0" w:lastRow="0" w:firstColumn="0" w:lastColumn="0" w:oddVBand="0" w:evenVBand="0" w:oddHBand="0" w:evenHBand="0" w:firstRowFirstColumn="0" w:firstRowLastColumn="0" w:lastRowFirstColumn="0" w:lastRowLastColumn="0"/>
              <w:rPr>
                <w:lang w:val="en-US"/>
              </w:rPr>
            </w:pPr>
            <w:r>
              <w:rPr>
                <w:lang w:val="en-US"/>
              </w:rPr>
              <w:t>Any number of invalid subframes.</w:t>
            </w:r>
          </w:p>
          <w:p w14:paraId="07D29CA2" w14:textId="1D68E422" w:rsidR="00D15203" w:rsidRDefault="00D15203" w:rsidP="00D15203">
            <w:pPr>
              <w:cnfStyle w:val="000000000000" w:firstRow="0" w:lastRow="0" w:firstColumn="0" w:lastColumn="0" w:oddVBand="0" w:evenVBand="0" w:oddHBand="0" w:evenHBand="0" w:firstRowFirstColumn="0" w:firstRowLastColumn="0" w:lastRowFirstColumn="0" w:lastRowLastColumn="0"/>
              <w:rPr>
                <w:lang w:val="en-US"/>
              </w:rPr>
            </w:pPr>
            <w:r>
              <w:rPr>
                <w:lang w:val="en-US"/>
              </w:rPr>
              <w:t>Only supports 12 processes before HARQ-ACK is sent.</w:t>
            </w:r>
          </w:p>
        </w:tc>
        <w:tc>
          <w:tcPr>
            <w:tcW w:w="2430" w:type="dxa"/>
          </w:tcPr>
          <w:p w14:paraId="39FAE65B" w14:textId="77777777" w:rsidR="00D15203" w:rsidRDefault="00D15203" w:rsidP="00D15203">
            <w:pPr>
              <w:cnfStyle w:val="000000000000" w:firstRow="0" w:lastRow="0" w:firstColumn="0" w:lastColumn="0" w:oddVBand="0" w:evenVBand="0" w:oddHBand="0" w:evenHBand="0" w:firstRowFirstColumn="0" w:firstRowLastColumn="0" w:lastRowFirstColumn="0" w:lastRowLastColumn="0"/>
              <w:rPr>
                <w:lang w:val="en-US"/>
              </w:rPr>
            </w:pPr>
            <w:r>
              <w:rPr>
                <w:lang w:val="en-US"/>
              </w:rPr>
              <w:t>Any number of invalid subframes.</w:t>
            </w:r>
          </w:p>
          <w:p w14:paraId="35CFB191" w14:textId="6AFF5D9C" w:rsidR="00D15203" w:rsidRDefault="00D15203" w:rsidP="00D15203">
            <w:pPr>
              <w:cnfStyle w:val="000000000000" w:firstRow="0" w:lastRow="0" w:firstColumn="0" w:lastColumn="0" w:oddVBand="0" w:evenVBand="0" w:oddHBand="0" w:evenHBand="0" w:firstRowFirstColumn="0" w:firstRowLastColumn="0" w:lastRowFirstColumn="0" w:lastRowLastColumn="0"/>
              <w:rPr>
                <w:lang w:val="en-US"/>
              </w:rPr>
            </w:pPr>
            <w:r>
              <w:rPr>
                <w:lang w:val="en-US"/>
              </w:rPr>
              <w:t>Some legacy scheduling cases are not possible (cannot fallback to legacy scheduling</w:t>
            </w:r>
            <w:r w:rsidR="00137D1E">
              <w:rPr>
                <w:lang w:val="en-US"/>
              </w:rPr>
              <w:t xml:space="preserve"> in all cases</w:t>
            </w:r>
            <w:r>
              <w:rPr>
                <w:lang w:val="en-US"/>
              </w:rPr>
              <w:t>)</w:t>
            </w:r>
          </w:p>
        </w:tc>
        <w:tc>
          <w:tcPr>
            <w:tcW w:w="3244" w:type="dxa"/>
          </w:tcPr>
          <w:p w14:paraId="38B5B324" w14:textId="77777777" w:rsidR="00D15203" w:rsidRDefault="00D15203" w:rsidP="00D15203">
            <w:pPr>
              <w:cnfStyle w:val="000000000000" w:firstRow="0" w:lastRow="0" w:firstColumn="0" w:lastColumn="0" w:oddVBand="0" w:evenVBand="0" w:oddHBand="0" w:evenHBand="0" w:firstRowFirstColumn="0" w:firstRowLastColumn="0" w:lastRowFirstColumn="0" w:lastRowLastColumn="0"/>
              <w:rPr>
                <w:lang w:val="en-US"/>
              </w:rPr>
            </w:pPr>
            <w:r>
              <w:rPr>
                <w:lang w:val="en-US"/>
              </w:rPr>
              <w:t>Can handle all legacy scheduling cases.</w:t>
            </w:r>
          </w:p>
          <w:p w14:paraId="7BDBE2C9" w14:textId="763C04B7" w:rsidR="00D15203" w:rsidRDefault="00D15203" w:rsidP="00D15203">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Cannot handle </w:t>
            </w:r>
            <w:r w:rsidR="00FF4F92">
              <w:rPr>
                <w:lang w:val="en-US"/>
              </w:rPr>
              <w:t xml:space="preserve">very </w:t>
            </w:r>
            <w:r>
              <w:rPr>
                <w:lang w:val="en-US"/>
              </w:rPr>
              <w:t xml:space="preserve">large number of invalid subframes </w:t>
            </w:r>
            <w:r w:rsidR="005A1A79">
              <w:rPr>
                <w:lang w:val="en-US"/>
              </w:rPr>
              <w:t>(except if the field is &gt;5 bits)</w:t>
            </w:r>
          </w:p>
        </w:tc>
      </w:tr>
      <w:tr w:rsidR="00D15203" w14:paraId="781CE821" w14:textId="77777777" w:rsidTr="00D152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tcPr>
          <w:p w14:paraId="132019BC" w14:textId="28A57C5B" w:rsidR="00D15203" w:rsidRDefault="00D15203" w:rsidP="00D15203">
            <w:pPr>
              <w:rPr>
                <w:lang w:val="en-US"/>
              </w:rPr>
            </w:pPr>
            <w:r>
              <w:rPr>
                <w:lang w:val="en-US"/>
              </w:rPr>
              <w:t>Robust against DCI loss</w:t>
            </w:r>
          </w:p>
        </w:tc>
        <w:tc>
          <w:tcPr>
            <w:tcW w:w="2610" w:type="dxa"/>
          </w:tcPr>
          <w:p w14:paraId="5187F67F" w14:textId="77558EE9" w:rsidR="00D15203" w:rsidRDefault="00D15203" w:rsidP="00D15203">
            <w:pPr>
              <w:cnfStyle w:val="000000100000" w:firstRow="0" w:lastRow="0" w:firstColumn="0" w:lastColumn="0" w:oddVBand="0" w:evenVBand="0" w:oddHBand="1" w:evenHBand="0" w:firstRowFirstColumn="0" w:firstRowLastColumn="0" w:lastRowFirstColumn="0" w:lastRowLastColumn="0"/>
              <w:rPr>
                <w:lang w:val="en-US"/>
              </w:rPr>
            </w:pPr>
            <w:r>
              <w:rPr>
                <w:lang w:val="en-US"/>
              </w:rPr>
              <w:t>No</w:t>
            </w:r>
          </w:p>
        </w:tc>
        <w:tc>
          <w:tcPr>
            <w:tcW w:w="2430" w:type="dxa"/>
          </w:tcPr>
          <w:p w14:paraId="68083EA0" w14:textId="0DD09B3A" w:rsidR="00D15203" w:rsidRDefault="00D15203" w:rsidP="00D15203">
            <w:pPr>
              <w:cnfStyle w:val="000000100000" w:firstRow="0" w:lastRow="0" w:firstColumn="0" w:lastColumn="0" w:oddVBand="0" w:evenVBand="0" w:oddHBand="1" w:evenHBand="0" w:firstRowFirstColumn="0" w:firstRowLastColumn="0" w:lastRowFirstColumn="0" w:lastRowLastColumn="0"/>
              <w:rPr>
                <w:lang w:val="en-US"/>
              </w:rPr>
            </w:pPr>
            <w:r>
              <w:rPr>
                <w:lang w:val="en-US"/>
              </w:rPr>
              <w:t>Yes</w:t>
            </w:r>
          </w:p>
        </w:tc>
        <w:tc>
          <w:tcPr>
            <w:tcW w:w="3244" w:type="dxa"/>
          </w:tcPr>
          <w:p w14:paraId="1F576DD3" w14:textId="482C483A" w:rsidR="00D15203" w:rsidRDefault="00D15203" w:rsidP="00D15203">
            <w:pPr>
              <w:cnfStyle w:val="000000100000" w:firstRow="0" w:lastRow="0" w:firstColumn="0" w:lastColumn="0" w:oddVBand="0" w:evenVBand="0" w:oddHBand="1" w:evenHBand="0" w:firstRowFirstColumn="0" w:firstRowLastColumn="0" w:lastRowFirstColumn="0" w:lastRowLastColumn="0"/>
              <w:rPr>
                <w:lang w:val="en-US"/>
              </w:rPr>
            </w:pPr>
            <w:r>
              <w:rPr>
                <w:lang w:val="en-US"/>
              </w:rPr>
              <w:t>Yes</w:t>
            </w:r>
          </w:p>
        </w:tc>
      </w:tr>
      <w:tr w:rsidR="00D15203" w14:paraId="34DA0AB4" w14:textId="77777777" w:rsidTr="00D15203">
        <w:tc>
          <w:tcPr>
            <w:cnfStyle w:val="001000000000" w:firstRow="0" w:lastRow="0" w:firstColumn="1" w:lastColumn="0" w:oddVBand="0" w:evenVBand="0" w:oddHBand="0" w:evenHBand="0" w:firstRowFirstColumn="0" w:firstRowLastColumn="0" w:lastRowFirstColumn="0" w:lastRowLastColumn="0"/>
            <w:tcW w:w="1345" w:type="dxa"/>
          </w:tcPr>
          <w:p w14:paraId="080227D6" w14:textId="583A0D56" w:rsidR="00D15203" w:rsidRDefault="00D15203" w:rsidP="00D15203">
            <w:pPr>
              <w:rPr>
                <w:lang w:val="en-US"/>
              </w:rPr>
            </w:pPr>
            <w:r>
              <w:rPr>
                <w:lang w:val="en-US"/>
              </w:rPr>
              <w:t>RRC overhead</w:t>
            </w:r>
          </w:p>
        </w:tc>
        <w:tc>
          <w:tcPr>
            <w:tcW w:w="2610" w:type="dxa"/>
          </w:tcPr>
          <w:p w14:paraId="55BEFB4E" w14:textId="2B6D47E0" w:rsidR="00D15203" w:rsidRDefault="00D15203" w:rsidP="00D15203">
            <w:pPr>
              <w:cnfStyle w:val="000000000000" w:firstRow="0" w:lastRow="0" w:firstColumn="0" w:lastColumn="0" w:oddVBand="0" w:evenVBand="0" w:oddHBand="0" w:evenHBand="0" w:firstRowFirstColumn="0" w:firstRowLastColumn="0" w:lastRowFirstColumn="0" w:lastRowLastColumn="0"/>
              <w:rPr>
                <w:lang w:val="en-US"/>
              </w:rPr>
            </w:pPr>
            <w:r>
              <w:rPr>
                <w:lang w:val="en-US"/>
              </w:rPr>
              <w:t>None</w:t>
            </w:r>
          </w:p>
        </w:tc>
        <w:tc>
          <w:tcPr>
            <w:tcW w:w="2430" w:type="dxa"/>
          </w:tcPr>
          <w:p w14:paraId="1ABBD2E1" w14:textId="3F5091F9" w:rsidR="00D15203" w:rsidRDefault="00D15203" w:rsidP="00D15203">
            <w:pPr>
              <w:cnfStyle w:val="000000000000" w:firstRow="0" w:lastRow="0" w:firstColumn="0" w:lastColumn="0" w:oddVBand="0" w:evenVBand="0" w:oddHBand="0" w:evenHBand="0" w:firstRowFirstColumn="0" w:firstRowLastColumn="0" w:lastRowFirstColumn="0" w:lastRowLastColumn="0"/>
              <w:rPr>
                <w:lang w:val="en-US"/>
              </w:rPr>
            </w:pPr>
            <w:r>
              <w:rPr>
                <w:lang w:val="en-US"/>
              </w:rPr>
              <w:t>None</w:t>
            </w:r>
          </w:p>
        </w:tc>
        <w:tc>
          <w:tcPr>
            <w:tcW w:w="3244" w:type="dxa"/>
          </w:tcPr>
          <w:p w14:paraId="3295B8A9" w14:textId="76E9CF74" w:rsidR="00D15203" w:rsidRDefault="00D15203" w:rsidP="00D15203">
            <w:pPr>
              <w:cnfStyle w:val="000000000000" w:firstRow="0" w:lastRow="0" w:firstColumn="0" w:lastColumn="0" w:oddVBand="0" w:evenVBand="0" w:oddHBand="0" w:evenHBand="0" w:firstRowFirstColumn="0" w:firstRowLastColumn="0" w:lastRowFirstColumn="0" w:lastRowLastColumn="0"/>
              <w:rPr>
                <w:lang w:val="en-US"/>
              </w:rPr>
            </w:pPr>
            <w:r>
              <w:rPr>
                <w:lang w:val="en-US"/>
              </w:rPr>
              <w:t>Yes (depends on details)</w:t>
            </w:r>
          </w:p>
        </w:tc>
      </w:tr>
      <w:tr w:rsidR="00D15203" w14:paraId="3CA021DA" w14:textId="77777777" w:rsidTr="00D152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tcPr>
          <w:p w14:paraId="0E569530" w14:textId="2731923E" w:rsidR="00D15203" w:rsidRDefault="00D15203" w:rsidP="00D15203">
            <w:pPr>
              <w:rPr>
                <w:lang w:val="en-US"/>
              </w:rPr>
            </w:pPr>
            <w:r>
              <w:rPr>
                <w:lang w:val="en-US"/>
              </w:rPr>
              <w:t>Flexibility</w:t>
            </w:r>
          </w:p>
        </w:tc>
        <w:tc>
          <w:tcPr>
            <w:tcW w:w="2610" w:type="dxa"/>
          </w:tcPr>
          <w:p w14:paraId="2AA5FD4C" w14:textId="034C49B9" w:rsidR="00D15203" w:rsidRDefault="00D15203" w:rsidP="00D15203">
            <w:pPr>
              <w:cnfStyle w:val="000000100000" w:firstRow="0" w:lastRow="0" w:firstColumn="0" w:lastColumn="0" w:oddVBand="0" w:evenVBand="0" w:oddHBand="1" w:evenHBand="0" w:firstRowFirstColumn="0" w:firstRowLastColumn="0" w:lastRowFirstColumn="0" w:lastRowLastColumn="0"/>
              <w:rPr>
                <w:lang w:val="en-US"/>
              </w:rPr>
            </w:pPr>
            <w:r>
              <w:rPr>
                <w:lang w:val="en-US"/>
              </w:rPr>
              <w:t>None</w:t>
            </w:r>
          </w:p>
        </w:tc>
        <w:tc>
          <w:tcPr>
            <w:tcW w:w="2430" w:type="dxa"/>
          </w:tcPr>
          <w:p w14:paraId="3CF3228D" w14:textId="46984C24" w:rsidR="00D15203" w:rsidRDefault="00D15203" w:rsidP="00D15203">
            <w:pPr>
              <w:cnfStyle w:val="000000100000" w:firstRow="0" w:lastRow="0" w:firstColumn="0" w:lastColumn="0" w:oddVBand="0" w:evenVBand="0" w:oddHBand="1" w:evenHBand="0" w:firstRowFirstColumn="0" w:firstRowLastColumn="0" w:lastRowFirstColumn="0" w:lastRowLastColumn="0"/>
              <w:rPr>
                <w:lang w:val="en-US"/>
              </w:rPr>
            </w:pPr>
            <w:r>
              <w:rPr>
                <w:lang w:val="en-US"/>
              </w:rPr>
              <w:t>The set of possible delays depends on valid / invalid subframes.</w:t>
            </w:r>
          </w:p>
        </w:tc>
        <w:tc>
          <w:tcPr>
            <w:tcW w:w="3244" w:type="dxa"/>
          </w:tcPr>
          <w:p w14:paraId="5681622C" w14:textId="4C8700CE" w:rsidR="00D15203" w:rsidRDefault="00D15203" w:rsidP="00D15203">
            <w:pPr>
              <w:cnfStyle w:val="000000100000" w:firstRow="0" w:lastRow="0" w:firstColumn="0" w:lastColumn="0" w:oddVBand="0" w:evenVBand="0" w:oddHBand="1" w:evenHBand="0" w:firstRowFirstColumn="0" w:firstRowLastColumn="0" w:lastRowFirstColumn="0" w:lastRowLastColumn="0"/>
              <w:rPr>
                <w:lang w:val="en-US"/>
              </w:rPr>
            </w:pPr>
            <w:r>
              <w:rPr>
                <w:lang w:val="en-US"/>
              </w:rPr>
              <w:t>Full (within the configured delay set)</w:t>
            </w:r>
          </w:p>
        </w:tc>
      </w:tr>
    </w:tbl>
    <w:p w14:paraId="36D4D1B9" w14:textId="77777777" w:rsidR="00D15203" w:rsidRPr="00D15203" w:rsidRDefault="00D15203" w:rsidP="00D15203">
      <w:pPr>
        <w:rPr>
          <w:lang w:val="en-US"/>
        </w:rPr>
      </w:pPr>
    </w:p>
    <w:p w14:paraId="2D771D46" w14:textId="502EA8C8" w:rsidR="00CA2D95" w:rsidRDefault="005A1A79" w:rsidP="00BE2D2C">
      <w:pPr>
        <w:rPr>
          <w:lang w:val="en-US"/>
        </w:rPr>
      </w:pPr>
      <w:r w:rsidRPr="005A1A79">
        <w:rPr>
          <w:lang w:val="en-US"/>
        </w:rPr>
        <w:t xml:space="preserve">In view of the </w:t>
      </w:r>
      <w:r>
        <w:rPr>
          <w:lang w:val="en-US"/>
        </w:rPr>
        <w:t>points above, we propose the following:</w:t>
      </w:r>
    </w:p>
    <w:p w14:paraId="48ADF4BB" w14:textId="6347F60D" w:rsidR="005A1A79" w:rsidRPr="005A1A79" w:rsidRDefault="005A1A79" w:rsidP="005A1A79">
      <w:pPr>
        <w:rPr>
          <w:b/>
          <w:bCs/>
          <w:lang w:val="en-US"/>
        </w:rPr>
      </w:pPr>
      <w:r w:rsidRPr="005A1A79">
        <w:rPr>
          <w:b/>
          <w:bCs/>
          <w:u w:val="single"/>
          <w:lang w:val="en-US"/>
        </w:rPr>
        <w:t>Proposal</w:t>
      </w:r>
      <w:r>
        <w:rPr>
          <w:b/>
          <w:bCs/>
          <w:u w:val="single"/>
          <w:lang w:val="en-US"/>
        </w:rPr>
        <w:t xml:space="preserve"> 1</w:t>
      </w:r>
      <w:r w:rsidRPr="005A1A79">
        <w:rPr>
          <w:b/>
          <w:bCs/>
          <w:u w:val="single"/>
          <w:lang w:val="en-US"/>
        </w:rPr>
        <w:t>:</w:t>
      </w:r>
      <w:r>
        <w:rPr>
          <w:b/>
          <w:bCs/>
          <w:u w:val="single"/>
          <w:lang w:val="en-US"/>
        </w:rPr>
        <w:t xml:space="preserve"> </w:t>
      </w:r>
      <w:r w:rsidRPr="005A1A79">
        <w:rPr>
          <w:b/>
          <w:bCs/>
          <w:lang w:val="en-US"/>
        </w:rPr>
        <w:t>In Rel-17, for the 14 HARQ process feature the HARQ-ACK delay solution is:</w:t>
      </w:r>
    </w:p>
    <w:p w14:paraId="4825ECB3" w14:textId="77777777" w:rsidR="005A1A79" w:rsidRPr="005A1A79" w:rsidRDefault="005A1A79" w:rsidP="005A1A79">
      <w:pPr>
        <w:pStyle w:val="ListParagraph"/>
        <w:numPr>
          <w:ilvl w:val="0"/>
          <w:numId w:val="35"/>
        </w:numPr>
        <w:spacing w:after="0"/>
        <w:ind w:left="714" w:hanging="357"/>
        <w:rPr>
          <w:b/>
          <w:bCs/>
          <w:lang w:val="en-US" w:eastAsia="x-none"/>
        </w:rPr>
      </w:pPr>
      <w:r w:rsidRPr="005A1A79">
        <w:rPr>
          <w:b/>
          <w:bCs/>
          <w:lang w:val="en-US" w:eastAsia="x-none"/>
        </w:rPr>
        <w:t>Alt-2: The HARQ-ACK delay is determined following the legacy approach. That is, the “HARQ-ACK delay” is kept expressed in terms of “absolute subframes”.</w:t>
      </w:r>
    </w:p>
    <w:p w14:paraId="290DCEA9" w14:textId="38D2FF34" w:rsidR="005A1A79" w:rsidRDefault="005A1A79" w:rsidP="00BE2D2C">
      <w:pPr>
        <w:rPr>
          <w:lang w:val="en-US"/>
        </w:rPr>
      </w:pPr>
    </w:p>
    <w:p w14:paraId="2464BDA9" w14:textId="77777777" w:rsidR="00BE2D2C" w:rsidRPr="00CA2D95" w:rsidRDefault="00BE2D2C" w:rsidP="00BE2D2C">
      <w:pPr>
        <w:rPr>
          <w:b/>
          <w:bCs/>
          <w:lang w:val="en-US"/>
        </w:rPr>
      </w:pPr>
    </w:p>
    <w:p w14:paraId="41EB33B2" w14:textId="5EFB0A1D" w:rsidR="00465D8B" w:rsidRPr="00CA2D95" w:rsidRDefault="00465D8B" w:rsidP="00465D8B">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sidRPr="00CA2D95">
        <w:rPr>
          <w:rFonts w:ascii="Arial" w:eastAsia="SimSun" w:hAnsi="Arial"/>
          <w:sz w:val="36"/>
          <w:lang w:val="en-US"/>
        </w:rPr>
        <w:t>Other changes</w:t>
      </w:r>
    </w:p>
    <w:p w14:paraId="449682F1" w14:textId="61BBD073" w:rsidR="00221394" w:rsidRPr="00CA2D95" w:rsidRDefault="00465D8B" w:rsidP="001B159B">
      <w:pPr>
        <w:rPr>
          <w:lang w:val="en-US"/>
        </w:rPr>
      </w:pPr>
      <w:r w:rsidRPr="00CA2D95">
        <w:rPr>
          <w:lang w:val="en-US"/>
        </w:rPr>
        <w:t xml:space="preserve">In this section we describe other </w:t>
      </w:r>
      <w:r w:rsidR="00CA7C43" w:rsidRPr="00CA2D95">
        <w:rPr>
          <w:lang w:val="en-US"/>
        </w:rPr>
        <w:t xml:space="preserve">second-order </w:t>
      </w:r>
      <w:r w:rsidRPr="00CA2D95">
        <w:rPr>
          <w:lang w:val="en-US"/>
        </w:rPr>
        <w:t>changes needed to enable higher throughput with 14 HARQ processes</w:t>
      </w:r>
      <w:r w:rsidR="000E771D">
        <w:rPr>
          <w:lang w:val="en-US"/>
        </w:rPr>
        <w:t>:</w:t>
      </w:r>
    </w:p>
    <w:p w14:paraId="45BC7560" w14:textId="66D15286" w:rsidR="00465D8B" w:rsidRPr="00CA2D95" w:rsidRDefault="00465D8B" w:rsidP="00465D8B">
      <w:pPr>
        <w:pStyle w:val="ListParagraph"/>
        <w:numPr>
          <w:ilvl w:val="0"/>
          <w:numId w:val="23"/>
        </w:numPr>
        <w:rPr>
          <w:lang w:val="en-US"/>
        </w:rPr>
      </w:pPr>
      <w:r w:rsidRPr="00CA2D95">
        <w:rPr>
          <w:lang w:val="en-US"/>
        </w:rPr>
        <w:t>When 14 HARQ processes are enabled, the “HARQ process number” field in DCI format 6-1A is 4 bits.</w:t>
      </w:r>
    </w:p>
    <w:p w14:paraId="2570DE68" w14:textId="1CD7C6E3" w:rsidR="00465D8B" w:rsidRPr="00CA2D95" w:rsidRDefault="00A562D2" w:rsidP="00465D8B">
      <w:pPr>
        <w:pStyle w:val="ListParagraph"/>
        <w:numPr>
          <w:ilvl w:val="0"/>
          <w:numId w:val="23"/>
        </w:numPr>
        <w:rPr>
          <w:lang w:val="en-US"/>
        </w:rPr>
      </w:pPr>
      <w:r w:rsidRPr="00CA2D95">
        <w:rPr>
          <w:lang w:val="en-US"/>
        </w:rPr>
        <w:t xml:space="preserve">The </w:t>
      </w:r>
      <w:r w:rsidR="00465D8B" w:rsidRPr="00CA2D95">
        <w:rPr>
          <w:lang w:val="en-US"/>
        </w:rPr>
        <w:t>PDSCH scheduling delay applies only to PDSCH scheduled from USS.</w:t>
      </w:r>
      <w:r w:rsidR="00CA7C43" w:rsidRPr="00CA2D95">
        <w:rPr>
          <w:lang w:val="en-US"/>
        </w:rPr>
        <w:t xml:space="preserve"> If a new bit is introduced in DCI for indicating PDSCH scheduling delay, it is only present in DCI 6-1A mapped to USS.</w:t>
      </w:r>
    </w:p>
    <w:p w14:paraId="51970C45" w14:textId="51E8E27F" w:rsidR="00465D8B" w:rsidRPr="00CA2D95" w:rsidRDefault="00465D8B" w:rsidP="00465D8B">
      <w:pPr>
        <w:pStyle w:val="ListParagraph"/>
        <w:numPr>
          <w:ilvl w:val="0"/>
          <w:numId w:val="23"/>
        </w:numPr>
        <w:rPr>
          <w:lang w:val="en-US"/>
        </w:rPr>
      </w:pPr>
      <w:r w:rsidRPr="00CA2D95">
        <w:rPr>
          <w:lang w:val="en-US"/>
        </w:rPr>
        <w:t>The maximum number of received PDSCH receptions pending HARQ-ACK</w:t>
      </w:r>
      <w:r w:rsidR="00CA7C43" w:rsidRPr="00CA2D95">
        <w:rPr>
          <w:lang w:val="en-US"/>
        </w:rPr>
        <w:t xml:space="preserve"> is set to W = 12 in </w:t>
      </w:r>
      <w:r w:rsidR="00A562D2" w:rsidRPr="00CA2D95">
        <w:rPr>
          <w:lang w:val="en-US"/>
        </w:rPr>
        <w:t xml:space="preserve">Sect. 7.3.1 of </w:t>
      </w:r>
      <w:r w:rsidR="00CA7C43" w:rsidRPr="00CA2D95">
        <w:rPr>
          <w:lang w:val="en-US"/>
        </w:rPr>
        <w:t>TS 36.213</w:t>
      </w:r>
      <w:r w:rsidR="00A562D2" w:rsidRPr="00CA2D95">
        <w:rPr>
          <w:b/>
          <w:bCs/>
          <w:lang w:val="en-US"/>
        </w:rPr>
        <w:t xml:space="preserve"> </w:t>
      </w:r>
      <w:r w:rsidR="00A562D2" w:rsidRPr="00CA2D95">
        <w:rPr>
          <w:lang w:val="en-US"/>
        </w:rPr>
        <w:t>when the UE is configured with 14 HARQ processes.</w:t>
      </w:r>
    </w:p>
    <w:p w14:paraId="5E744210" w14:textId="77777777" w:rsidR="00CA7C43" w:rsidRPr="00CA2D95" w:rsidRDefault="00CA7C43" w:rsidP="00CA7C43">
      <w:pPr>
        <w:pStyle w:val="ListParagraph"/>
        <w:numPr>
          <w:ilvl w:val="0"/>
          <w:numId w:val="23"/>
        </w:numPr>
        <w:rPr>
          <w:lang w:val="en-US"/>
        </w:rPr>
      </w:pPr>
      <w:r w:rsidRPr="00CA2D95">
        <w:rPr>
          <w:lang w:val="en-US"/>
        </w:rPr>
        <w:t>A UE configured with 14 HARQ processes is also configured with HARQ-ACK bundling.</w:t>
      </w:r>
    </w:p>
    <w:p w14:paraId="686AA622" w14:textId="77777777" w:rsidR="00CA7C43" w:rsidRPr="00CA2D95" w:rsidRDefault="00CA7C43" w:rsidP="00CA7C43">
      <w:pPr>
        <w:pStyle w:val="ListParagraph"/>
        <w:rPr>
          <w:lang w:val="en-US"/>
        </w:rPr>
      </w:pPr>
    </w:p>
    <w:p w14:paraId="402A3E10" w14:textId="4C8B798A" w:rsidR="00CA7C43" w:rsidRPr="00CA2D95" w:rsidRDefault="00CA7C43" w:rsidP="00CA7C43">
      <w:pPr>
        <w:rPr>
          <w:b/>
          <w:bCs/>
          <w:lang w:val="en-US"/>
        </w:rPr>
      </w:pPr>
      <w:r w:rsidRPr="00CA2D95">
        <w:rPr>
          <w:b/>
          <w:bCs/>
          <w:u w:val="single"/>
          <w:lang w:val="en-US"/>
        </w:rPr>
        <w:t xml:space="preserve">Proposal </w:t>
      </w:r>
      <w:r w:rsidR="00D80497">
        <w:rPr>
          <w:b/>
          <w:bCs/>
          <w:u w:val="single"/>
          <w:lang w:val="en-US"/>
        </w:rPr>
        <w:t>2</w:t>
      </w:r>
      <w:r w:rsidR="0004422F" w:rsidRPr="00CA2D95">
        <w:rPr>
          <w:b/>
          <w:bCs/>
          <w:u w:val="single"/>
          <w:lang w:val="en-US"/>
        </w:rPr>
        <w:t>:</w:t>
      </w:r>
      <w:r w:rsidRPr="00CA2D95">
        <w:rPr>
          <w:b/>
          <w:bCs/>
          <w:lang w:val="en-US"/>
        </w:rPr>
        <w:t xml:space="preserve"> Introduce the following specification changes for supporting 14 HARQ processes:</w:t>
      </w:r>
    </w:p>
    <w:p w14:paraId="227C5F4F" w14:textId="77777777" w:rsidR="00CA7C43" w:rsidRPr="00CA2D95" w:rsidRDefault="00CA7C43" w:rsidP="00CA7C43">
      <w:pPr>
        <w:pStyle w:val="ListParagraph"/>
        <w:numPr>
          <w:ilvl w:val="0"/>
          <w:numId w:val="23"/>
        </w:numPr>
        <w:rPr>
          <w:b/>
          <w:bCs/>
          <w:lang w:val="en-US"/>
        </w:rPr>
      </w:pPr>
      <w:r w:rsidRPr="00CA2D95">
        <w:rPr>
          <w:b/>
          <w:bCs/>
          <w:lang w:val="en-US"/>
        </w:rPr>
        <w:t>When 14 HARQ processes are enabled, the “HARQ process number” field in DCI format 6-1A is 4 bits.</w:t>
      </w:r>
    </w:p>
    <w:p w14:paraId="18611CEA" w14:textId="729319A8" w:rsidR="00CA7C43" w:rsidRPr="00CA2D95" w:rsidRDefault="00A562D2" w:rsidP="00CA7C43">
      <w:pPr>
        <w:pStyle w:val="ListParagraph"/>
        <w:numPr>
          <w:ilvl w:val="0"/>
          <w:numId w:val="23"/>
        </w:numPr>
        <w:rPr>
          <w:b/>
          <w:bCs/>
          <w:lang w:val="en-US"/>
        </w:rPr>
      </w:pPr>
      <w:r w:rsidRPr="00CA2D95">
        <w:rPr>
          <w:b/>
          <w:bCs/>
          <w:lang w:val="en-US"/>
        </w:rPr>
        <w:t xml:space="preserve">The </w:t>
      </w:r>
      <w:r w:rsidR="00CA7C43" w:rsidRPr="00CA2D95">
        <w:rPr>
          <w:b/>
          <w:bCs/>
          <w:lang w:val="en-US"/>
        </w:rPr>
        <w:t>PDSCH scheduling delay applies only to PDSCH scheduled from USS. If a new bit is introduced in DCI for indicating PDSCH scheduling delay, it is only present in DCI 6-1A mapped to USS.</w:t>
      </w:r>
    </w:p>
    <w:p w14:paraId="5467CB47" w14:textId="6E4615D3" w:rsidR="00CA7C43" w:rsidRPr="00CA2D95" w:rsidRDefault="00CA7C43" w:rsidP="00CA7C43">
      <w:pPr>
        <w:pStyle w:val="ListParagraph"/>
        <w:numPr>
          <w:ilvl w:val="0"/>
          <w:numId w:val="23"/>
        </w:numPr>
        <w:rPr>
          <w:b/>
          <w:bCs/>
          <w:lang w:val="en-US"/>
        </w:rPr>
      </w:pPr>
      <w:r w:rsidRPr="00CA2D95">
        <w:rPr>
          <w:b/>
          <w:bCs/>
          <w:lang w:val="en-US"/>
        </w:rPr>
        <w:t xml:space="preserve">The maximum number of received PDSCH receptions pending HARQ-ACK is set to W = 12 </w:t>
      </w:r>
      <w:r w:rsidR="00DF67C0" w:rsidRPr="00CA2D95">
        <w:rPr>
          <w:b/>
          <w:bCs/>
          <w:lang w:val="en-US"/>
        </w:rPr>
        <w:t>(</w:t>
      </w:r>
      <w:r w:rsidRPr="00CA2D95">
        <w:rPr>
          <w:b/>
          <w:bCs/>
          <w:lang w:val="en-US"/>
        </w:rPr>
        <w:t xml:space="preserve">in </w:t>
      </w:r>
      <w:r w:rsidR="00A562D2" w:rsidRPr="00CA2D95">
        <w:rPr>
          <w:b/>
          <w:bCs/>
          <w:lang w:val="en-US"/>
        </w:rPr>
        <w:t xml:space="preserve">Sect. 7.3.1 of </w:t>
      </w:r>
      <w:r w:rsidRPr="00CA2D95">
        <w:rPr>
          <w:b/>
          <w:bCs/>
          <w:lang w:val="en-US"/>
        </w:rPr>
        <w:t>TS 36.213</w:t>
      </w:r>
      <w:r w:rsidR="00DF67C0" w:rsidRPr="00CA2D95">
        <w:rPr>
          <w:b/>
          <w:bCs/>
          <w:lang w:val="en-US"/>
        </w:rPr>
        <w:t>)</w:t>
      </w:r>
      <w:r w:rsidRPr="00CA2D95">
        <w:rPr>
          <w:b/>
          <w:bCs/>
          <w:lang w:val="en-US"/>
        </w:rPr>
        <w:t xml:space="preserve"> when the UE is configured with 14 HARQ processes.</w:t>
      </w:r>
    </w:p>
    <w:p w14:paraId="68F08249" w14:textId="54A8378C" w:rsidR="00CA7C43" w:rsidRPr="00CA2D95" w:rsidRDefault="00CA7C43" w:rsidP="00CA7C43">
      <w:pPr>
        <w:pStyle w:val="ListParagraph"/>
        <w:numPr>
          <w:ilvl w:val="0"/>
          <w:numId w:val="23"/>
        </w:numPr>
        <w:rPr>
          <w:b/>
          <w:bCs/>
          <w:lang w:val="en-US"/>
        </w:rPr>
      </w:pPr>
      <w:r w:rsidRPr="00CA2D95">
        <w:rPr>
          <w:b/>
          <w:bCs/>
          <w:lang w:val="en-US"/>
        </w:rPr>
        <w:t>A UE configured with 14 HARQ processes is also configured with HARQ-ACK bundling.</w:t>
      </w:r>
    </w:p>
    <w:p w14:paraId="709AD34C" w14:textId="70EE779C" w:rsidR="00CA7C43" w:rsidRPr="00CA2D95" w:rsidRDefault="00CA7C43" w:rsidP="00CA7C43">
      <w:pPr>
        <w:rPr>
          <w:lang w:val="en-US"/>
        </w:rPr>
      </w:pPr>
    </w:p>
    <w:p w14:paraId="32174AC9" w14:textId="230A9B4D" w:rsidR="00CA7C43" w:rsidRPr="00CA2D95" w:rsidRDefault="00854585" w:rsidP="00CA7C43">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sidRPr="00CA2D95">
        <w:rPr>
          <w:rFonts w:ascii="Arial" w:eastAsia="SimSun" w:hAnsi="Arial"/>
          <w:sz w:val="36"/>
          <w:lang w:val="en-US"/>
        </w:rPr>
        <w:lastRenderedPageBreak/>
        <w:t>Conclusions</w:t>
      </w:r>
    </w:p>
    <w:p w14:paraId="076F99A1" w14:textId="18D43363" w:rsidR="00CA7C43" w:rsidRPr="00CA2D95" w:rsidRDefault="00CA7C43" w:rsidP="00CA7C43">
      <w:pPr>
        <w:rPr>
          <w:lang w:val="en-US"/>
        </w:rPr>
      </w:pPr>
      <w:r w:rsidRPr="00CA2D95">
        <w:rPr>
          <w:lang w:val="en-US"/>
        </w:rPr>
        <w:t>In this contribution we presented our views on the necessary changes to enable increased throughput with 14 HARQ processes and PDSCH scheduling delay. We made the following proposals:</w:t>
      </w:r>
    </w:p>
    <w:p w14:paraId="1FC41B9B" w14:textId="77777777" w:rsidR="00DD0E63" w:rsidRPr="00CA2D95" w:rsidRDefault="00DD0E63" w:rsidP="00CA7C43">
      <w:pPr>
        <w:rPr>
          <w:lang w:val="en-US"/>
        </w:rPr>
      </w:pPr>
    </w:p>
    <w:p w14:paraId="47710CF0" w14:textId="77777777" w:rsidR="00FF4F92" w:rsidRPr="005A1A79" w:rsidRDefault="00FF4F92" w:rsidP="00FF4F92">
      <w:pPr>
        <w:rPr>
          <w:b/>
          <w:bCs/>
          <w:lang w:val="en-US"/>
        </w:rPr>
      </w:pPr>
      <w:r w:rsidRPr="005A1A79">
        <w:rPr>
          <w:b/>
          <w:bCs/>
          <w:u w:val="single"/>
          <w:lang w:val="en-US"/>
        </w:rPr>
        <w:t>Proposal</w:t>
      </w:r>
      <w:r>
        <w:rPr>
          <w:b/>
          <w:bCs/>
          <w:u w:val="single"/>
          <w:lang w:val="en-US"/>
        </w:rPr>
        <w:t xml:space="preserve"> 1</w:t>
      </w:r>
      <w:r w:rsidRPr="005A1A79">
        <w:rPr>
          <w:b/>
          <w:bCs/>
          <w:u w:val="single"/>
          <w:lang w:val="en-US"/>
        </w:rPr>
        <w:t>:</w:t>
      </w:r>
      <w:r>
        <w:rPr>
          <w:b/>
          <w:bCs/>
          <w:u w:val="single"/>
          <w:lang w:val="en-US"/>
        </w:rPr>
        <w:t xml:space="preserve"> </w:t>
      </w:r>
      <w:r w:rsidRPr="005A1A79">
        <w:rPr>
          <w:b/>
          <w:bCs/>
          <w:lang w:val="en-US"/>
        </w:rPr>
        <w:t>In Rel-17, for the 14 HARQ process feature the HARQ-ACK delay solution is:</w:t>
      </w:r>
    </w:p>
    <w:p w14:paraId="570A3B56" w14:textId="77777777" w:rsidR="00FF4F92" w:rsidRPr="005A1A79" w:rsidRDefault="00FF4F92" w:rsidP="00FF4F92">
      <w:pPr>
        <w:pStyle w:val="ListParagraph"/>
        <w:numPr>
          <w:ilvl w:val="0"/>
          <w:numId w:val="35"/>
        </w:numPr>
        <w:spacing w:after="0"/>
        <w:ind w:left="714" w:hanging="357"/>
        <w:rPr>
          <w:b/>
          <w:bCs/>
          <w:lang w:val="en-US" w:eastAsia="x-none"/>
        </w:rPr>
      </w:pPr>
      <w:r w:rsidRPr="005A1A79">
        <w:rPr>
          <w:b/>
          <w:bCs/>
          <w:lang w:val="en-US" w:eastAsia="x-none"/>
        </w:rPr>
        <w:t>Alt-2: The HARQ-ACK delay is determined following the legacy approach. That is, the “HARQ-ACK delay” is kept expressed in terms of “absolute subframes”.</w:t>
      </w:r>
    </w:p>
    <w:p w14:paraId="0D25A5AD" w14:textId="3D857B6E" w:rsidR="001D6537" w:rsidRDefault="001D6537" w:rsidP="00CA7C43">
      <w:pPr>
        <w:rPr>
          <w:lang w:val="en-US"/>
        </w:rPr>
      </w:pPr>
    </w:p>
    <w:p w14:paraId="44DD0C4B" w14:textId="7E7C9471" w:rsidR="00FF4F92" w:rsidRDefault="00FF4F92" w:rsidP="00CA7C43">
      <w:pPr>
        <w:rPr>
          <w:lang w:val="en-US"/>
        </w:rPr>
      </w:pPr>
    </w:p>
    <w:p w14:paraId="1B119B89" w14:textId="49133033" w:rsidR="00FF4F92" w:rsidRPr="00CA2D95" w:rsidRDefault="00FF4F92" w:rsidP="00FF4F92">
      <w:pPr>
        <w:rPr>
          <w:b/>
          <w:bCs/>
          <w:lang w:val="en-US"/>
        </w:rPr>
      </w:pPr>
      <w:r w:rsidRPr="00CA2D95">
        <w:rPr>
          <w:b/>
          <w:bCs/>
          <w:u w:val="single"/>
          <w:lang w:val="en-US"/>
        </w:rPr>
        <w:t xml:space="preserve">Proposal </w:t>
      </w:r>
      <w:r w:rsidR="00D80497">
        <w:rPr>
          <w:b/>
          <w:bCs/>
          <w:u w:val="single"/>
          <w:lang w:val="en-US"/>
        </w:rPr>
        <w:t>2</w:t>
      </w:r>
      <w:r w:rsidRPr="00CA2D95">
        <w:rPr>
          <w:b/>
          <w:bCs/>
          <w:u w:val="single"/>
          <w:lang w:val="en-US"/>
        </w:rPr>
        <w:t>:</w:t>
      </w:r>
      <w:r w:rsidRPr="00CA2D95">
        <w:rPr>
          <w:b/>
          <w:bCs/>
          <w:lang w:val="en-US"/>
        </w:rPr>
        <w:t xml:space="preserve"> Introduce the following specification changes for supporting 14 HARQ processes:</w:t>
      </w:r>
    </w:p>
    <w:p w14:paraId="0D889C28" w14:textId="77777777" w:rsidR="00FF4F92" w:rsidRPr="00CA2D95" w:rsidRDefault="00FF4F92" w:rsidP="00FF4F92">
      <w:pPr>
        <w:pStyle w:val="ListParagraph"/>
        <w:numPr>
          <w:ilvl w:val="0"/>
          <w:numId w:val="23"/>
        </w:numPr>
        <w:rPr>
          <w:b/>
          <w:bCs/>
          <w:lang w:val="en-US"/>
        </w:rPr>
      </w:pPr>
      <w:r w:rsidRPr="00CA2D95">
        <w:rPr>
          <w:b/>
          <w:bCs/>
          <w:lang w:val="en-US"/>
        </w:rPr>
        <w:t>When 14 HARQ processes are enabled, the “HARQ process number” field in DCI format 6-1A is 4 bits.</w:t>
      </w:r>
    </w:p>
    <w:p w14:paraId="4CDB65A6" w14:textId="77777777" w:rsidR="00FF4F92" w:rsidRPr="00CA2D95" w:rsidRDefault="00FF4F92" w:rsidP="00FF4F92">
      <w:pPr>
        <w:pStyle w:val="ListParagraph"/>
        <w:numPr>
          <w:ilvl w:val="0"/>
          <w:numId w:val="23"/>
        </w:numPr>
        <w:rPr>
          <w:b/>
          <w:bCs/>
          <w:lang w:val="en-US"/>
        </w:rPr>
      </w:pPr>
      <w:r w:rsidRPr="00CA2D95">
        <w:rPr>
          <w:b/>
          <w:bCs/>
          <w:lang w:val="en-US"/>
        </w:rPr>
        <w:t>The PDSCH scheduling delay applies only to PDSCH scheduled from USS. If a new bit is introduced in DCI for indicating PDSCH scheduling delay, it is only present in DCI 6-1A mapped to USS.</w:t>
      </w:r>
    </w:p>
    <w:p w14:paraId="17D77736" w14:textId="77777777" w:rsidR="00FF4F92" w:rsidRPr="00CA2D95" w:rsidRDefault="00FF4F92" w:rsidP="00FF4F92">
      <w:pPr>
        <w:pStyle w:val="ListParagraph"/>
        <w:numPr>
          <w:ilvl w:val="0"/>
          <w:numId w:val="23"/>
        </w:numPr>
        <w:rPr>
          <w:b/>
          <w:bCs/>
          <w:lang w:val="en-US"/>
        </w:rPr>
      </w:pPr>
      <w:r w:rsidRPr="00CA2D95">
        <w:rPr>
          <w:b/>
          <w:bCs/>
          <w:lang w:val="en-US"/>
        </w:rPr>
        <w:t>The maximum number of received PDSCH receptions pending HARQ-ACK is set to W = 12 (in Sect. 7.3.1 of TS 36.213) when the UE is configured with 14 HARQ processes.</w:t>
      </w:r>
    </w:p>
    <w:p w14:paraId="4005074B" w14:textId="77777777" w:rsidR="00FF4F92" w:rsidRPr="00CA2D95" w:rsidRDefault="00FF4F92" w:rsidP="00FF4F92">
      <w:pPr>
        <w:pStyle w:val="ListParagraph"/>
        <w:numPr>
          <w:ilvl w:val="0"/>
          <w:numId w:val="23"/>
        </w:numPr>
        <w:rPr>
          <w:b/>
          <w:bCs/>
          <w:lang w:val="en-US"/>
        </w:rPr>
      </w:pPr>
      <w:r w:rsidRPr="00CA2D95">
        <w:rPr>
          <w:b/>
          <w:bCs/>
          <w:lang w:val="en-US"/>
        </w:rPr>
        <w:t>A UE configured with 14 HARQ processes is also configured with HARQ-ACK bundling.</w:t>
      </w:r>
    </w:p>
    <w:p w14:paraId="0C57B042" w14:textId="77777777" w:rsidR="00FF4F92" w:rsidRPr="00CA2D95" w:rsidRDefault="00FF4F92" w:rsidP="00CA7C43">
      <w:pPr>
        <w:rPr>
          <w:lang w:val="en-US"/>
        </w:rPr>
      </w:pPr>
    </w:p>
    <w:p w14:paraId="4E558006" w14:textId="57D7A9A7" w:rsidR="006C1D96" w:rsidRPr="00CA2D95" w:rsidRDefault="00221394" w:rsidP="00221394">
      <w:pPr>
        <w:pStyle w:val="Heading1"/>
        <w:jc w:val="both"/>
        <w:rPr>
          <w:lang w:val="en-US"/>
        </w:rPr>
      </w:pPr>
      <w:r w:rsidRPr="00CA2D95">
        <w:rPr>
          <w:lang w:val="en-US"/>
        </w:rPr>
        <w:t>References</w:t>
      </w:r>
    </w:p>
    <w:p w14:paraId="079451B9" w14:textId="22806090" w:rsidR="00221394" w:rsidRPr="00CA2D95" w:rsidRDefault="00221394" w:rsidP="00221394">
      <w:pPr>
        <w:rPr>
          <w:lang w:val="en-US"/>
        </w:rPr>
      </w:pPr>
      <w:r w:rsidRPr="00CA2D95">
        <w:rPr>
          <w:lang w:val="en-US"/>
        </w:rPr>
        <w:t>[1] RP-201306, WID revision: Additional enhancements for NB-IoT and LTE-MTC</w:t>
      </w:r>
    </w:p>
    <w:p w14:paraId="40CB324D" w14:textId="0670B2F8" w:rsidR="006C1D96" w:rsidRPr="00CA2D95" w:rsidRDefault="00221394" w:rsidP="001B159B">
      <w:pPr>
        <w:rPr>
          <w:lang w:val="en-US"/>
        </w:rPr>
      </w:pPr>
      <w:r w:rsidRPr="00CA2D95">
        <w:rPr>
          <w:lang w:val="en-US"/>
        </w:rPr>
        <w:t>[2] RP-192390, LS on support of high peak data rate for Cat-M1 UEs in HD-FDD</w:t>
      </w:r>
    </w:p>
    <w:p w14:paraId="690EE743" w14:textId="528AF0DA" w:rsidR="00221394" w:rsidRPr="00CA2D95" w:rsidRDefault="00221394" w:rsidP="001B159B">
      <w:pPr>
        <w:rPr>
          <w:lang w:val="en-US"/>
        </w:rPr>
      </w:pPr>
      <w:r w:rsidRPr="00CA2D95">
        <w:rPr>
          <w:lang w:val="en-US"/>
        </w:rPr>
        <w:t>[3] R1-1912694, Increased peak data rate for HD-FDD MTC UEs</w:t>
      </w:r>
    </w:p>
    <w:sectPr w:rsidR="00221394" w:rsidRPr="00CA2D95" w:rsidSect="0075443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03DEB" w14:textId="77777777" w:rsidR="009330C9" w:rsidRDefault="009330C9">
      <w:pPr>
        <w:spacing w:after="0"/>
      </w:pPr>
      <w:r>
        <w:separator/>
      </w:r>
    </w:p>
  </w:endnote>
  <w:endnote w:type="continuationSeparator" w:id="0">
    <w:p w14:paraId="1033F0D5" w14:textId="77777777" w:rsidR="009330C9" w:rsidRDefault="009330C9">
      <w:pPr>
        <w:spacing w:after="0"/>
      </w:pPr>
      <w:r>
        <w:continuationSeparator/>
      </w:r>
    </w:p>
  </w:endnote>
  <w:endnote w:type="continuationNotice" w:id="1">
    <w:p w14:paraId="3D74DAB6" w14:textId="77777777" w:rsidR="009330C9" w:rsidRDefault="009330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1D0962" w:rsidRDefault="001D0962" w:rsidP="0075443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1D0962" w:rsidRDefault="001D0962" w:rsidP="0075443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1D0962" w:rsidRDefault="001D0962" w:rsidP="007544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1D0962" w:rsidRDefault="001D09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C3F30" w14:textId="77777777" w:rsidR="009330C9" w:rsidRDefault="009330C9">
      <w:pPr>
        <w:spacing w:after="0"/>
      </w:pPr>
      <w:r>
        <w:separator/>
      </w:r>
    </w:p>
  </w:footnote>
  <w:footnote w:type="continuationSeparator" w:id="0">
    <w:p w14:paraId="3A5D85E8" w14:textId="77777777" w:rsidR="009330C9" w:rsidRDefault="009330C9">
      <w:pPr>
        <w:spacing w:after="0"/>
      </w:pPr>
      <w:r>
        <w:continuationSeparator/>
      </w:r>
    </w:p>
  </w:footnote>
  <w:footnote w:type="continuationNotice" w:id="1">
    <w:p w14:paraId="22D2B394" w14:textId="77777777" w:rsidR="009330C9" w:rsidRDefault="009330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1D0962" w:rsidRDefault="001D0962">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1D0962" w:rsidRDefault="001D09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1D0962" w:rsidRDefault="001D09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F1485"/>
    <w:multiLevelType w:val="hybridMultilevel"/>
    <w:tmpl w:val="0FD49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91A5E0C"/>
    <w:multiLevelType w:val="hybridMultilevel"/>
    <w:tmpl w:val="8A704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7F6D2E"/>
    <w:multiLevelType w:val="hybridMultilevel"/>
    <w:tmpl w:val="940AE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3349C"/>
    <w:multiLevelType w:val="hybridMultilevel"/>
    <w:tmpl w:val="FD704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94441"/>
    <w:multiLevelType w:val="hybridMultilevel"/>
    <w:tmpl w:val="820ED5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53E32"/>
    <w:multiLevelType w:val="hybridMultilevel"/>
    <w:tmpl w:val="A97EE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95164D"/>
    <w:multiLevelType w:val="hybridMultilevel"/>
    <w:tmpl w:val="D2048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EE86E6B"/>
    <w:multiLevelType w:val="hybridMultilevel"/>
    <w:tmpl w:val="986C0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6608F1"/>
    <w:multiLevelType w:val="hybridMultilevel"/>
    <w:tmpl w:val="6DB41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89194E"/>
    <w:multiLevelType w:val="hybridMultilevel"/>
    <w:tmpl w:val="0D689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D534DE"/>
    <w:multiLevelType w:val="hybridMultilevel"/>
    <w:tmpl w:val="D7903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A355B6"/>
    <w:multiLevelType w:val="hybridMultilevel"/>
    <w:tmpl w:val="EBFEF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93A1C"/>
    <w:multiLevelType w:val="hybridMultilevel"/>
    <w:tmpl w:val="1EE49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6C25E53"/>
    <w:multiLevelType w:val="multilevel"/>
    <w:tmpl w:val="36C25E53"/>
    <w:lvl w:ilvl="0">
      <w:start w:val="1"/>
      <w:numFmt w:val="bullet"/>
      <w:lvlText w:val="−"/>
      <w:lvlJc w:val="left"/>
      <w:pPr>
        <w:tabs>
          <w:tab w:val="num" w:pos="576"/>
        </w:tabs>
        <w:ind w:left="576" w:hanging="288"/>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E935C2"/>
    <w:multiLevelType w:val="hybridMultilevel"/>
    <w:tmpl w:val="13B43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04972"/>
    <w:multiLevelType w:val="hybridMultilevel"/>
    <w:tmpl w:val="A7526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207260"/>
    <w:multiLevelType w:val="hybridMultilevel"/>
    <w:tmpl w:val="3724C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21DAA"/>
    <w:multiLevelType w:val="hybridMultilevel"/>
    <w:tmpl w:val="54F4A7BE"/>
    <w:lvl w:ilvl="0" w:tplc="C310B656">
      <w:start w:val="1"/>
      <w:numFmt w:val="bullet"/>
      <w:lvlText w:val="•"/>
      <w:lvlJc w:val="left"/>
      <w:pPr>
        <w:tabs>
          <w:tab w:val="num" w:pos="720"/>
        </w:tabs>
        <w:ind w:left="720" w:hanging="360"/>
      </w:pPr>
      <w:rPr>
        <w:rFonts w:ascii="Arial" w:hAnsi="Arial" w:hint="default"/>
      </w:rPr>
    </w:lvl>
    <w:lvl w:ilvl="1" w:tplc="AC7CA80A">
      <w:start w:val="1"/>
      <w:numFmt w:val="bullet"/>
      <w:lvlText w:val="•"/>
      <w:lvlJc w:val="left"/>
      <w:pPr>
        <w:tabs>
          <w:tab w:val="num" w:pos="1440"/>
        </w:tabs>
        <w:ind w:left="1440" w:hanging="360"/>
      </w:pPr>
      <w:rPr>
        <w:rFonts w:ascii="Arial" w:hAnsi="Arial" w:hint="default"/>
      </w:rPr>
    </w:lvl>
    <w:lvl w:ilvl="2" w:tplc="3934D5EE">
      <w:start w:val="67"/>
      <w:numFmt w:val="bullet"/>
      <w:lvlText w:val="•"/>
      <w:lvlJc w:val="left"/>
      <w:pPr>
        <w:tabs>
          <w:tab w:val="num" w:pos="2160"/>
        </w:tabs>
        <w:ind w:left="2160" w:hanging="360"/>
      </w:pPr>
      <w:rPr>
        <w:rFonts w:ascii="Arial" w:hAnsi="Arial" w:hint="default"/>
      </w:rPr>
    </w:lvl>
    <w:lvl w:ilvl="3" w:tplc="C8EA2E56">
      <w:start w:val="67"/>
      <w:numFmt w:val="bullet"/>
      <w:lvlText w:val="•"/>
      <w:lvlJc w:val="left"/>
      <w:pPr>
        <w:tabs>
          <w:tab w:val="num" w:pos="2880"/>
        </w:tabs>
        <w:ind w:left="2880" w:hanging="360"/>
      </w:pPr>
      <w:rPr>
        <w:rFonts w:ascii="Arial" w:hAnsi="Arial" w:hint="default"/>
      </w:rPr>
    </w:lvl>
    <w:lvl w:ilvl="4" w:tplc="FB360E2A" w:tentative="1">
      <w:start w:val="1"/>
      <w:numFmt w:val="bullet"/>
      <w:lvlText w:val="•"/>
      <w:lvlJc w:val="left"/>
      <w:pPr>
        <w:tabs>
          <w:tab w:val="num" w:pos="3600"/>
        </w:tabs>
        <w:ind w:left="3600" w:hanging="360"/>
      </w:pPr>
      <w:rPr>
        <w:rFonts w:ascii="Arial" w:hAnsi="Arial" w:hint="default"/>
      </w:rPr>
    </w:lvl>
    <w:lvl w:ilvl="5" w:tplc="AAB67D5A" w:tentative="1">
      <w:start w:val="1"/>
      <w:numFmt w:val="bullet"/>
      <w:lvlText w:val="•"/>
      <w:lvlJc w:val="left"/>
      <w:pPr>
        <w:tabs>
          <w:tab w:val="num" w:pos="4320"/>
        </w:tabs>
        <w:ind w:left="4320" w:hanging="360"/>
      </w:pPr>
      <w:rPr>
        <w:rFonts w:ascii="Arial" w:hAnsi="Arial" w:hint="default"/>
      </w:rPr>
    </w:lvl>
    <w:lvl w:ilvl="6" w:tplc="610205DA" w:tentative="1">
      <w:start w:val="1"/>
      <w:numFmt w:val="bullet"/>
      <w:lvlText w:val="•"/>
      <w:lvlJc w:val="left"/>
      <w:pPr>
        <w:tabs>
          <w:tab w:val="num" w:pos="5040"/>
        </w:tabs>
        <w:ind w:left="5040" w:hanging="360"/>
      </w:pPr>
      <w:rPr>
        <w:rFonts w:ascii="Arial" w:hAnsi="Arial" w:hint="default"/>
      </w:rPr>
    </w:lvl>
    <w:lvl w:ilvl="7" w:tplc="C142AE62" w:tentative="1">
      <w:start w:val="1"/>
      <w:numFmt w:val="bullet"/>
      <w:lvlText w:val="•"/>
      <w:lvlJc w:val="left"/>
      <w:pPr>
        <w:tabs>
          <w:tab w:val="num" w:pos="5760"/>
        </w:tabs>
        <w:ind w:left="5760" w:hanging="360"/>
      </w:pPr>
      <w:rPr>
        <w:rFonts w:ascii="Arial" w:hAnsi="Arial" w:hint="default"/>
      </w:rPr>
    </w:lvl>
    <w:lvl w:ilvl="8" w:tplc="73C4B63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8519EC"/>
    <w:multiLevelType w:val="hybridMultilevel"/>
    <w:tmpl w:val="BC545686"/>
    <w:lvl w:ilvl="0" w:tplc="B5A8667A">
      <w:numFmt w:val="bullet"/>
      <w:lvlText w:val="-"/>
      <w:lvlJc w:val="left"/>
      <w:pPr>
        <w:ind w:left="760" w:hanging="360"/>
      </w:pPr>
      <w:rPr>
        <w:rFonts w:ascii="Times" w:eastAsia="Batang" w:hAnsi="Times" w:cs="Times" w:hint="default"/>
      </w:rPr>
    </w:lvl>
    <w:lvl w:ilvl="1" w:tplc="4E5CA9E4">
      <w:numFmt w:val="bullet"/>
      <w:lvlText w:val="-"/>
      <w:lvlJc w:val="left"/>
      <w:pPr>
        <w:ind w:left="1200" w:hanging="400"/>
      </w:pPr>
      <w:rPr>
        <w:rFonts w:ascii="Times New Roman" w:eastAsia="MS Mincho"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9950B21"/>
    <w:multiLevelType w:val="hybridMultilevel"/>
    <w:tmpl w:val="0B9E23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9D76BE"/>
    <w:multiLevelType w:val="hybridMultilevel"/>
    <w:tmpl w:val="84D20F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1179D4"/>
    <w:multiLevelType w:val="hybridMultilevel"/>
    <w:tmpl w:val="97E0D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8E23AE"/>
    <w:multiLevelType w:val="hybridMultilevel"/>
    <w:tmpl w:val="E3141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CC798C"/>
    <w:multiLevelType w:val="hybridMultilevel"/>
    <w:tmpl w:val="27428D38"/>
    <w:lvl w:ilvl="0" w:tplc="04090001">
      <w:start w:val="1"/>
      <w:numFmt w:val="bullet"/>
      <w:lvlText w:val=""/>
      <w:lvlJc w:val="left"/>
      <w:pPr>
        <w:ind w:left="720" w:hanging="360"/>
      </w:pPr>
      <w:rPr>
        <w:rFonts w:ascii="Symbol" w:hAnsi="Symbol" w:hint="default"/>
      </w:rPr>
    </w:lvl>
    <w:lvl w:ilvl="1" w:tplc="38A20494">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FB40B4"/>
    <w:multiLevelType w:val="hybridMultilevel"/>
    <w:tmpl w:val="217E5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91C3069"/>
    <w:multiLevelType w:val="hybridMultilevel"/>
    <w:tmpl w:val="E932E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EE2EBD"/>
    <w:multiLevelType w:val="hybridMultilevel"/>
    <w:tmpl w:val="87BC9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A40E76"/>
    <w:multiLevelType w:val="hybridMultilevel"/>
    <w:tmpl w:val="DD9E8A18"/>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35" w15:restartNumberingAfterBreak="0">
    <w:nsid w:val="703901BE"/>
    <w:multiLevelType w:val="hybridMultilevel"/>
    <w:tmpl w:val="08FE3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F11F91"/>
    <w:multiLevelType w:val="hybridMultilevel"/>
    <w:tmpl w:val="844E345A"/>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37" w15:restartNumberingAfterBreak="0">
    <w:nsid w:val="797C5A4B"/>
    <w:multiLevelType w:val="hybridMultilevel"/>
    <w:tmpl w:val="7D7C8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E44045"/>
    <w:multiLevelType w:val="hybridMultilevel"/>
    <w:tmpl w:val="C0AE66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0" w15:restartNumberingAfterBreak="0">
    <w:nsid w:val="7F9A160F"/>
    <w:multiLevelType w:val="hybridMultilevel"/>
    <w:tmpl w:val="AA063DB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6"/>
  </w:num>
  <w:num w:numId="3">
    <w:abstractNumId w:val="26"/>
  </w:num>
  <w:num w:numId="4">
    <w:abstractNumId w:val="29"/>
  </w:num>
  <w:num w:numId="5">
    <w:abstractNumId w:val="19"/>
  </w:num>
  <w:num w:numId="6">
    <w:abstractNumId w:val="31"/>
  </w:num>
  <w:num w:numId="7">
    <w:abstractNumId w:val="36"/>
  </w:num>
  <w:num w:numId="8">
    <w:abstractNumId w:val="11"/>
  </w:num>
  <w:num w:numId="9">
    <w:abstractNumId w:val="39"/>
  </w:num>
  <w:num w:numId="10">
    <w:abstractNumId w:val="25"/>
  </w:num>
  <w:num w:numId="11">
    <w:abstractNumId w:val="9"/>
  </w:num>
  <w:num w:numId="12">
    <w:abstractNumId w:val="5"/>
  </w:num>
  <w:num w:numId="13">
    <w:abstractNumId w:val="40"/>
  </w:num>
  <w:num w:numId="14">
    <w:abstractNumId w:val="17"/>
  </w:num>
  <w:num w:numId="15">
    <w:abstractNumId w:val="10"/>
  </w:num>
  <w:num w:numId="16">
    <w:abstractNumId w:val="27"/>
  </w:num>
  <w:num w:numId="17">
    <w:abstractNumId w:val="35"/>
  </w:num>
  <w:num w:numId="18">
    <w:abstractNumId w:val="13"/>
  </w:num>
  <w:num w:numId="19">
    <w:abstractNumId w:val="34"/>
  </w:num>
  <w:num w:numId="20">
    <w:abstractNumId w:val="28"/>
  </w:num>
  <w:num w:numId="21">
    <w:abstractNumId w:val="4"/>
  </w:num>
  <w:num w:numId="22">
    <w:abstractNumId w:val="3"/>
  </w:num>
  <w:num w:numId="23">
    <w:abstractNumId w:val="33"/>
  </w:num>
  <w:num w:numId="24">
    <w:abstractNumId w:val="24"/>
  </w:num>
  <w:num w:numId="25">
    <w:abstractNumId w:val="8"/>
  </w:num>
  <w:num w:numId="26">
    <w:abstractNumId w:val="16"/>
  </w:num>
  <w:num w:numId="27">
    <w:abstractNumId w:val="21"/>
  </w:num>
  <w:num w:numId="28">
    <w:abstractNumId w:val="37"/>
  </w:num>
  <w:num w:numId="29">
    <w:abstractNumId w:val="14"/>
  </w:num>
  <w:num w:numId="30">
    <w:abstractNumId w:val="30"/>
  </w:num>
  <w:num w:numId="31">
    <w:abstractNumId w:val="20"/>
  </w:num>
  <w:num w:numId="32">
    <w:abstractNumId w:val="0"/>
  </w:num>
  <w:num w:numId="33">
    <w:abstractNumId w:val="32"/>
  </w:num>
  <w:num w:numId="34">
    <w:abstractNumId w:val="7"/>
  </w:num>
  <w:num w:numId="35">
    <w:abstractNumId w:val="23"/>
  </w:num>
  <w:num w:numId="36">
    <w:abstractNumId w:val="2"/>
  </w:num>
  <w:num w:numId="37">
    <w:abstractNumId w:val="38"/>
  </w:num>
  <w:num w:numId="38">
    <w:abstractNumId w:val="22"/>
  </w:num>
  <w:num w:numId="39">
    <w:abstractNumId w:val="15"/>
  </w:num>
  <w:num w:numId="40">
    <w:abstractNumId w:val="18"/>
  </w:num>
  <w:num w:numId="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22216"/>
    <w:rsid w:val="00037582"/>
    <w:rsid w:val="00042869"/>
    <w:rsid w:val="0004422F"/>
    <w:rsid w:val="00054E5C"/>
    <w:rsid w:val="00063DAE"/>
    <w:rsid w:val="00071128"/>
    <w:rsid w:val="00081CDD"/>
    <w:rsid w:val="00090686"/>
    <w:rsid w:val="000B513E"/>
    <w:rsid w:val="000E771D"/>
    <w:rsid w:val="00107F06"/>
    <w:rsid w:val="00122D19"/>
    <w:rsid w:val="00124E5D"/>
    <w:rsid w:val="00125DAC"/>
    <w:rsid w:val="00137D1E"/>
    <w:rsid w:val="00146E52"/>
    <w:rsid w:val="00151963"/>
    <w:rsid w:val="00154C05"/>
    <w:rsid w:val="0015790E"/>
    <w:rsid w:val="00177940"/>
    <w:rsid w:val="001A452F"/>
    <w:rsid w:val="001B159B"/>
    <w:rsid w:val="001B1EC7"/>
    <w:rsid w:val="001D0962"/>
    <w:rsid w:val="001D3BEE"/>
    <w:rsid w:val="001D6537"/>
    <w:rsid w:val="001E1134"/>
    <w:rsid w:val="00221394"/>
    <w:rsid w:val="00221AA4"/>
    <w:rsid w:val="00255F0A"/>
    <w:rsid w:val="00260902"/>
    <w:rsid w:val="002742EE"/>
    <w:rsid w:val="0029388D"/>
    <w:rsid w:val="002B475A"/>
    <w:rsid w:val="00322E97"/>
    <w:rsid w:val="0033382D"/>
    <w:rsid w:val="00340D26"/>
    <w:rsid w:val="00353210"/>
    <w:rsid w:val="00362F3B"/>
    <w:rsid w:val="00384FD9"/>
    <w:rsid w:val="00386F50"/>
    <w:rsid w:val="003C0B13"/>
    <w:rsid w:val="003C5BD8"/>
    <w:rsid w:val="003E4EB7"/>
    <w:rsid w:val="00400A2E"/>
    <w:rsid w:val="0041454F"/>
    <w:rsid w:val="0041506D"/>
    <w:rsid w:val="00431380"/>
    <w:rsid w:val="0044101B"/>
    <w:rsid w:val="00446042"/>
    <w:rsid w:val="00451CA3"/>
    <w:rsid w:val="00465D8B"/>
    <w:rsid w:val="00476C2A"/>
    <w:rsid w:val="00485DD6"/>
    <w:rsid w:val="0049613A"/>
    <w:rsid w:val="004D634E"/>
    <w:rsid w:val="00520E7B"/>
    <w:rsid w:val="00520F4B"/>
    <w:rsid w:val="00527F03"/>
    <w:rsid w:val="00527F8A"/>
    <w:rsid w:val="0055528B"/>
    <w:rsid w:val="0055738F"/>
    <w:rsid w:val="00566DE7"/>
    <w:rsid w:val="00582CAB"/>
    <w:rsid w:val="00586156"/>
    <w:rsid w:val="00594B35"/>
    <w:rsid w:val="005A1A79"/>
    <w:rsid w:val="005A74CD"/>
    <w:rsid w:val="005D201C"/>
    <w:rsid w:val="005F78B3"/>
    <w:rsid w:val="00601F79"/>
    <w:rsid w:val="00620296"/>
    <w:rsid w:val="00623263"/>
    <w:rsid w:val="00632162"/>
    <w:rsid w:val="00643492"/>
    <w:rsid w:val="00653D27"/>
    <w:rsid w:val="00674A20"/>
    <w:rsid w:val="006B3A59"/>
    <w:rsid w:val="006C1D96"/>
    <w:rsid w:val="007366C0"/>
    <w:rsid w:val="0075364E"/>
    <w:rsid w:val="00753A4F"/>
    <w:rsid w:val="0075443B"/>
    <w:rsid w:val="007640FF"/>
    <w:rsid w:val="00794448"/>
    <w:rsid w:val="007C20CD"/>
    <w:rsid w:val="007C370A"/>
    <w:rsid w:val="007C59C7"/>
    <w:rsid w:val="007E7769"/>
    <w:rsid w:val="008208F6"/>
    <w:rsid w:val="008260B0"/>
    <w:rsid w:val="00835C35"/>
    <w:rsid w:val="00854585"/>
    <w:rsid w:val="0088116B"/>
    <w:rsid w:val="008B5BDF"/>
    <w:rsid w:val="008C6866"/>
    <w:rsid w:val="008D60F7"/>
    <w:rsid w:val="00904028"/>
    <w:rsid w:val="00925A9A"/>
    <w:rsid w:val="009330C9"/>
    <w:rsid w:val="00935E08"/>
    <w:rsid w:val="00957A4D"/>
    <w:rsid w:val="009627A6"/>
    <w:rsid w:val="00983EFA"/>
    <w:rsid w:val="009B0A3F"/>
    <w:rsid w:val="009B28B8"/>
    <w:rsid w:val="009E2C20"/>
    <w:rsid w:val="009F0072"/>
    <w:rsid w:val="009F2660"/>
    <w:rsid w:val="009F5385"/>
    <w:rsid w:val="00A06BA2"/>
    <w:rsid w:val="00A15485"/>
    <w:rsid w:val="00A238B6"/>
    <w:rsid w:val="00A40DBD"/>
    <w:rsid w:val="00A45641"/>
    <w:rsid w:val="00A458EA"/>
    <w:rsid w:val="00A5043D"/>
    <w:rsid w:val="00A562D2"/>
    <w:rsid w:val="00A64E9E"/>
    <w:rsid w:val="00A67F21"/>
    <w:rsid w:val="00AA685A"/>
    <w:rsid w:val="00AB425B"/>
    <w:rsid w:val="00AB6DBE"/>
    <w:rsid w:val="00AD444A"/>
    <w:rsid w:val="00AE7EB7"/>
    <w:rsid w:val="00B16408"/>
    <w:rsid w:val="00B17212"/>
    <w:rsid w:val="00B265BD"/>
    <w:rsid w:val="00B27B76"/>
    <w:rsid w:val="00B32506"/>
    <w:rsid w:val="00B42AB1"/>
    <w:rsid w:val="00B563DD"/>
    <w:rsid w:val="00B64F64"/>
    <w:rsid w:val="00B65C45"/>
    <w:rsid w:val="00B86CB1"/>
    <w:rsid w:val="00BA11DA"/>
    <w:rsid w:val="00BA2B73"/>
    <w:rsid w:val="00BD0F8A"/>
    <w:rsid w:val="00BE2D2C"/>
    <w:rsid w:val="00BF27FB"/>
    <w:rsid w:val="00C056B0"/>
    <w:rsid w:val="00C331CC"/>
    <w:rsid w:val="00C51EDA"/>
    <w:rsid w:val="00C53F67"/>
    <w:rsid w:val="00C83453"/>
    <w:rsid w:val="00C94B32"/>
    <w:rsid w:val="00CA2D95"/>
    <w:rsid w:val="00CA7C43"/>
    <w:rsid w:val="00CD6583"/>
    <w:rsid w:val="00D10724"/>
    <w:rsid w:val="00D15203"/>
    <w:rsid w:val="00D31AEF"/>
    <w:rsid w:val="00D43F0A"/>
    <w:rsid w:val="00D6066F"/>
    <w:rsid w:val="00D76286"/>
    <w:rsid w:val="00D80497"/>
    <w:rsid w:val="00D8305F"/>
    <w:rsid w:val="00D865DC"/>
    <w:rsid w:val="00DC6F4D"/>
    <w:rsid w:val="00DD0E63"/>
    <w:rsid w:val="00DF67C0"/>
    <w:rsid w:val="00E06B08"/>
    <w:rsid w:val="00E346D4"/>
    <w:rsid w:val="00E357FC"/>
    <w:rsid w:val="00E605EA"/>
    <w:rsid w:val="00E64FFE"/>
    <w:rsid w:val="00E671F6"/>
    <w:rsid w:val="00E74BCC"/>
    <w:rsid w:val="00E836D1"/>
    <w:rsid w:val="00EA4473"/>
    <w:rsid w:val="00EF15B3"/>
    <w:rsid w:val="00EF786E"/>
    <w:rsid w:val="00F00BC4"/>
    <w:rsid w:val="00F01430"/>
    <w:rsid w:val="00F22702"/>
    <w:rsid w:val="00F34287"/>
    <w:rsid w:val="00F47E3B"/>
    <w:rsid w:val="00F5209A"/>
    <w:rsid w:val="00F5785D"/>
    <w:rsid w:val="00F63972"/>
    <w:rsid w:val="00F67F4B"/>
    <w:rsid w:val="00F73668"/>
    <w:rsid w:val="00F752F5"/>
    <w:rsid w:val="00F8682C"/>
    <w:rsid w:val="00FA1B49"/>
    <w:rsid w:val="00FA2448"/>
    <w:rsid w:val="00FF4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62AE2D7D-93AF-42F0-8985-903895C14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9"/>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table" w:styleId="GridTable5Dark-Accent1">
    <w:name w:val="Grid Table 5 Dark Accent 1"/>
    <w:basedOn w:val="TableNormal"/>
    <w:uiPriority w:val="50"/>
    <w:rsid w:val="00D15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2-Accent5">
    <w:name w:val="Grid Table 2 Accent 5"/>
    <w:basedOn w:val="TableNormal"/>
    <w:uiPriority w:val="47"/>
    <w:rsid w:val="00D15203"/>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1">
    <w:name w:val="List Table 4 Accent 1"/>
    <w:basedOn w:val="TableNormal"/>
    <w:uiPriority w:val="49"/>
    <w:rsid w:val="00D152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7Colorful-Accent5">
    <w:name w:val="List Table 7 Colorful Accent 5"/>
    <w:basedOn w:val="TableNormal"/>
    <w:uiPriority w:val="52"/>
    <w:rsid w:val="00D15203"/>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5">
    <w:name w:val="Grid Table 5 Dark Accent 5"/>
    <w:basedOn w:val="TableNormal"/>
    <w:uiPriority w:val="50"/>
    <w:rsid w:val="00D15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849660">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48409520">
      <w:bodyDiv w:val="1"/>
      <w:marLeft w:val="0"/>
      <w:marRight w:val="0"/>
      <w:marTop w:val="0"/>
      <w:marBottom w:val="0"/>
      <w:divBdr>
        <w:top w:val="none" w:sz="0" w:space="0" w:color="auto"/>
        <w:left w:val="none" w:sz="0" w:space="0" w:color="auto"/>
        <w:bottom w:val="none" w:sz="0" w:space="0" w:color="auto"/>
        <w:right w:val="none" w:sz="0" w:space="0" w:color="auto"/>
      </w:divBdr>
    </w:div>
    <w:div w:id="849837222">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467116077">
      <w:bodyDiv w:val="1"/>
      <w:marLeft w:val="0"/>
      <w:marRight w:val="0"/>
      <w:marTop w:val="0"/>
      <w:marBottom w:val="0"/>
      <w:divBdr>
        <w:top w:val="none" w:sz="0" w:space="0" w:color="auto"/>
        <w:left w:val="none" w:sz="0" w:space="0" w:color="auto"/>
        <w:bottom w:val="none" w:sz="0" w:space="0" w:color="auto"/>
        <w:right w:val="none" w:sz="0" w:space="0" w:color="auto"/>
      </w:divBdr>
    </w:div>
    <w:div w:id="1899977244">
      <w:bodyDiv w:val="1"/>
      <w:marLeft w:val="0"/>
      <w:marRight w:val="0"/>
      <w:marTop w:val="0"/>
      <w:marBottom w:val="0"/>
      <w:divBdr>
        <w:top w:val="none" w:sz="0" w:space="0" w:color="auto"/>
        <w:left w:val="none" w:sz="0" w:space="0" w:color="auto"/>
        <w:bottom w:val="none" w:sz="0" w:space="0" w:color="auto"/>
        <w:right w:val="none" w:sz="0" w:space="0" w:color="auto"/>
      </w:divBdr>
    </w:div>
    <w:div w:id="1954360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ad7e9c84-eee2-4f04-8dc4-d8da4998942e">2NQM6TFEKNAF-2083369004-38</_dlc_DocId>
    <_dlc_DocIdUrl xmlns="ad7e9c84-eee2-4f04-8dc4-d8da4998942e">
      <Url>https://sharepoint.qualcomm.com/corp/standards/PM/hermes/_layouts/15/DocIdRedir.aspx?ID=2NQM6TFEKNAF-2083369004-38</Url>
      <Description>2NQM6TFEKNAF-2083369004-38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9F04E75D36AD44D87DE2D6256A0A02F" ma:contentTypeVersion="0" ma:contentTypeDescription="Create a new document." ma:contentTypeScope="" ma:versionID="b97958499e1c60be1f89e76d4ea1a367">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A1A405-6E9C-41A4-877B-7A3B084B9CE4}">
  <ds:schemaRefs>
    <ds:schemaRef ds:uri="http://schemas.microsoft.com/sharepoint/events"/>
  </ds:schemaRefs>
</ds:datastoreItem>
</file>

<file path=customXml/itemProps2.xml><?xml version="1.0" encoding="utf-8"?>
<ds:datastoreItem xmlns:ds="http://schemas.openxmlformats.org/officeDocument/2006/customXml" ds:itemID="{BD5926F2-DC08-4089-80F1-920A54DBE5C4}">
  <ds:schemaRefs>
    <ds:schemaRef ds:uri="http://schemas.openxmlformats.org/officeDocument/2006/bibliography"/>
  </ds:schemaRefs>
</ds:datastoreItem>
</file>

<file path=customXml/itemProps3.xml><?xml version="1.0" encoding="utf-8"?>
<ds:datastoreItem xmlns:ds="http://schemas.openxmlformats.org/officeDocument/2006/customXml" ds:itemID="{AF7299DC-E9B5-4C5A-B03E-00EF26172912}">
  <ds:schemaRefs>
    <ds:schemaRef ds:uri="http://schemas.microsoft.com/office/2006/metadata/properties"/>
    <ds:schemaRef ds:uri="http://schemas.microsoft.com/office/infopath/2007/PartnerControls"/>
    <ds:schemaRef ds:uri="ad7e9c84-eee2-4f04-8dc4-d8da4998942e"/>
  </ds:schemaRefs>
</ds:datastoreItem>
</file>

<file path=customXml/itemProps4.xml><?xml version="1.0" encoding="utf-8"?>
<ds:datastoreItem xmlns:ds="http://schemas.openxmlformats.org/officeDocument/2006/customXml" ds:itemID="{C24F9521-7479-4E3D-B853-85C30A4CD43D}">
  <ds:schemaRefs>
    <ds:schemaRef ds:uri="http://schemas.microsoft.com/sharepoint/v3/contenttype/forms"/>
  </ds:schemaRefs>
</ds:datastoreItem>
</file>

<file path=customXml/itemProps5.xml><?xml version="1.0" encoding="utf-8"?>
<ds:datastoreItem xmlns:ds="http://schemas.openxmlformats.org/officeDocument/2006/customXml" ds:itemID="{6D68C60E-AE79-4B43-8564-B5DE9B677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5</Pages>
  <Words>1565</Words>
  <Characters>8922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AR -2</cp:lastModifiedBy>
  <cp:revision>7</cp:revision>
  <cp:lastPrinted>2020-02-10T06:14:00Z</cp:lastPrinted>
  <dcterms:created xsi:type="dcterms:W3CDTF">2021-04-06T21:18:00Z</dcterms:created>
  <dcterms:modified xsi:type="dcterms:W3CDTF">2021-05-12T05:45:00Z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1ccbcc59-d35e-4f67-98f1-8770e232aa3c</vt:lpwstr>
  </property>
  <property fmtid="{D5CDD505-2E9C-101B-9397-08002B2CF9AE}" pid="3" name="ContentTypeId">
    <vt:lpwstr>0x01010059F04E75D36AD44D87DE2D6256A0A02F</vt:lpwstr>
  </property>
</Properties>
</file>